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0"/>
        <w:rPr>
          <w:rFonts w:hint="eastAsia" w:ascii="方正小标宋简体" w:hAnsi="微软雅黑" w:eastAsia="方正小标宋简体" w:cs="宋体"/>
          <w:b/>
          <w:bCs/>
          <w:color w:val="525353"/>
          <w:kern w:val="36"/>
          <w:sz w:val="44"/>
          <w:szCs w:val="44"/>
        </w:rPr>
      </w:pPr>
      <w:bookmarkStart w:id="0" w:name="_GoBack"/>
      <w:bookmarkEnd w:id="0"/>
    </w:p>
    <w:p>
      <w:pPr>
        <w:widowControl/>
        <w:shd w:val="clear" w:color="auto" w:fill="FFFFFF"/>
        <w:jc w:val="center"/>
        <w:outlineLvl w:val="0"/>
        <w:rPr>
          <w:rFonts w:hint="eastAsia" w:ascii="方正小标宋简体" w:hAnsi="微软雅黑" w:eastAsia="方正小标宋简体" w:cs="宋体"/>
          <w:b/>
          <w:bCs/>
          <w:color w:val="525353"/>
          <w:kern w:val="36"/>
          <w:sz w:val="44"/>
          <w:szCs w:val="44"/>
        </w:rPr>
      </w:pPr>
      <w:r>
        <w:rPr>
          <w:rFonts w:hint="eastAsia" w:ascii="方正小标宋简体" w:hAnsi="微软雅黑" w:eastAsia="方正小标宋简体" w:cs="宋体"/>
          <w:b/>
          <w:bCs/>
          <w:color w:val="525353"/>
          <w:kern w:val="36"/>
          <w:sz w:val="44"/>
          <w:szCs w:val="44"/>
        </w:rPr>
        <w:t>嘉峪关市农机购置补贴政策实施异常情形报告制度</w:t>
      </w:r>
    </w:p>
    <w:p>
      <w:pPr>
        <w:widowControl/>
        <w:shd w:val="clear" w:color="auto" w:fill="FFFFFF"/>
        <w:spacing w:line="617" w:lineRule="atLeast"/>
        <w:ind w:firstLine="643"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b/>
          <w:bCs/>
          <w:color w:val="333333"/>
          <w:kern w:val="0"/>
          <w:sz w:val="32"/>
          <w:szCs w:val="32"/>
        </w:rPr>
        <w:t>第一条</w:t>
      </w:r>
      <w:r>
        <w:rPr>
          <w:rFonts w:hint="eastAsia" w:ascii="仿宋_GB2312" w:hAnsi="微软雅黑" w:eastAsia="仿宋_GB2312" w:cs="宋体"/>
          <w:color w:val="333333"/>
          <w:kern w:val="0"/>
          <w:sz w:val="32"/>
          <w:szCs w:val="32"/>
        </w:rPr>
        <w:t xml:space="preserve">  为及时处理农机购置补贴政策实施过程中发生的异常情形，严厉打击农机购置补贴工作中的违规行为，规范、高效、廉洁实施农机购置补贴政策，确保国家强农惠农富农资金的安全，结合我市实际，制定本制度。</w:t>
      </w:r>
    </w:p>
    <w:p>
      <w:pPr>
        <w:widowControl/>
        <w:shd w:val="clear" w:color="auto" w:fill="FFFFFF"/>
        <w:spacing w:line="617" w:lineRule="atLeast"/>
        <w:ind w:firstLine="643"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b/>
          <w:bCs/>
          <w:color w:val="333333"/>
          <w:kern w:val="0"/>
          <w:sz w:val="32"/>
          <w:szCs w:val="32"/>
        </w:rPr>
        <w:t>第二条</w:t>
      </w:r>
      <w:r>
        <w:rPr>
          <w:rFonts w:hint="eastAsia" w:ascii="仿宋_GB2312" w:hAnsi="微软雅黑" w:eastAsia="仿宋_GB2312" w:cs="宋体"/>
          <w:color w:val="333333"/>
          <w:kern w:val="0"/>
          <w:sz w:val="32"/>
          <w:szCs w:val="32"/>
        </w:rPr>
        <w:t xml:space="preserve">  本制度适用于农机购置补贴政策在补贴机具申请、补贴机具核验和违规处理等关键环节实施过程中发生或发现的异常情形。</w:t>
      </w:r>
    </w:p>
    <w:p>
      <w:pPr>
        <w:widowControl/>
        <w:shd w:val="clear" w:color="auto" w:fill="FFFFFF"/>
        <w:spacing w:line="617" w:lineRule="atLeast"/>
        <w:ind w:firstLine="643"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b/>
          <w:bCs/>
          <w:color w:val="333333"/>
          <w:kern w:val="0"/>
          <w:sz w:val="32"/>
          <w:szCs w:val="32"/>
        </w:rPr>
        <w:t>第三条</w:t>
      </w:r>
      <w:r>
        <w:rPr>
          <w:rFonts w:hint="eastAsia" w:ascii="仿宋_GB2312" w:hAnsi="微软雅黑" w:eastAsia="仿宋_GB2312" w:cs="宋体"/>
          <w:color w:val="333333"/>
          <w:kern w:val="0"/>
          <w:sz w:val="32"/>
          <w:szCs w:val="32"/>
        </w:rPr>
        <w:t xml:space="preserve">  异常情形的调查及报告范围。</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（一）购机发票显示购机者与实际购机者不一致的。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（二）一项或多项主要参数与系统参数不一致的。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（三）购机发票金额与实际销售价格不一致的。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（四）补贴机具有严重质量问题的。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（五）机具铭牌没有永久性固定的，机具铭牌非唯一的。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（六）铭牌信息与实物不一致的。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（七）铭牌信息、实物信息与购机补贴辅助管理系统所对应机具的信息不一致的。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（八）补贴机具有投诉的。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（九）同类型补贴机具短期内大批量出现的。</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（十）个人购置多台套及以上同类型机具的。</w:t>
      </w:r>
    </w:p>
    <w:p>
      <w:pPr>
        <w:widowControl/>
        <w:shd w:val="clear" w:color="auto" w:fill="FFFFFF"/>
        <w:spacing w:line="617" w:lineRule="atLeast"/>
        <w:ind w:firstLine="643"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b/>
          <w:bCs/>
          <w:color w:val="333333"/>
          <w:kern w:val="0"/>
          <w:sz w:val="32"/>
          <w:szCs w:val="32"/>
        </w:rPr>
        <w:t>第四条  </w:t>
      </w:r>
      <w:r>
        <w:rPr>
          <w:rFonts w:hint="eastAsia" w:ascii="仿宋_GB2312" w:hAnsi="微软雅黑" w:eastAsia="仿宋_GB2312" w:cs="宋体"/>
          <w:color w:val="333333"/>
          <w:kern w:val="0"/>
          <w:sz w:val="32"/>
          <w:szCs w:val="32"/>
        </w:rPr>
        <w:t>异常情形的调查与处理</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(一)购机补贴核验异常情况与处理</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1、核查人员在机具核验时，发现机具实际铭牌与农机购置补贴辅助管理系统内铭牌照片不一致、不规范的，应及时向市农业农村局报告。</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2、核查人员在机具核验时，发现机具外观与农机购置补贴辅助管理系统内机具照片不一致的，应及时向市农业农村局报告。</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3、核查人员在机具核验时，发现享受补贴的机具与农机购置补贴辅助管理系统内的该型号机具配置不一致，应及时向市农业农村局报告。</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4、核查人员发现补贴机具，存在偷工减料，质量低或存在重大安全隐患，应及时向市农业农村局报告。</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5、核查人员发现短时间内集中抢购某种机具时，应及时开展调查，摸清情况，查看是否存在补贴额虚高，套补骗补的情况，如果存在问题，应及时向市农业农村局报告。</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6、发现或接到异常情形线索报告后，由市农业农村局及时组织调查核实，并及时向省农业农村厅农机化管理处报告。</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（二）农机购置补贴违规处理异常情况与处理</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1、农机购置补贴违规行为主体：主要包括参与农机购置补贴政策落实的相关部门和工作人员，申请农机购置补贴的购机者，农机购置补贴产品的生产、经销企业等农机购置补贴政策的参与者。</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2、制度适用于市农业农村局、镇农机管理服务站工作人员存在的农机购置补贴违规处理异常情况，以及农业农村部、省农业农村厅农机购置补贴违规通报及黑名单数据库中登记的有关问题的联动查处异常情况报告。</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3、对轻微违规行为的处理，镇农机管理服务站调查处理后，发现违规行为在三镇普遍存在的，应及时向市农业农村局报告。</w:t>
      </w:r>
    </w:p>
    <w:p>
      <w:pPr>
        <w:widowControl/>
        <w:shd w:val="clear" w:color="auto" w:fill="FFFFFF"/>
        <w:spacing w:line="617" w:lineRule="atLeast"/>
        <w:ind w:firstLine="640"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color w:val="333333"/>
          <w:kern w:val="0"/>
          <w:sz w:val="32"/>
          <w:szCs w:val="32"/>
        </w:rPr>
        <w:t>4、对较重违规行为、严重违规行为的处理，市农业农村局应及时报告省农业农村厅农机化管理处。</w:t>
      </w:r>
    </w:p>
    <w:p>
      <w:pPr>
        <w:widowControl/>
        <w:shd w:val="clear" w:color="auto" w:fill="FFFFFF"/>
        <w:spacing w:line="617" w:lineRule="atLeast"/>
        <w:ind w:firstLine="643"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b/>
          <w:bCs/>
          <w:color w:val="525353"/>
          <w:kern w:val="0"/>
          <w:sz w:val="32"/>
          <w:szCs w:val="32"/>
        </w:rPr>
        <w:t>第五条</w:t>
      </w:r>
      <w:r>
        <w:rPr>
          <w:rFonts w:hint="eastAsia" w:ascii="仿宋_GB2312" w:hAnsi="微软雅黑" w:eastAsia="仿宋_GB2312" w:cs="宋体"/>
          <w:color w:val="525353"/>
          <w:kern w:val="0"/>
          <w:sz w:val="32"/>
          <w:szCs w:val="32"/>
        </w:rPr>
        <w:t xml:space="preserve">   市</w:t>
      </w:r>
      <w:r>
        <w:rPr>
          <w:rFonts w:hint="eastAsia" w:ascii="仿宋_GB2312" w:hAnsi="微软雅黑" w:eastAsia="仿宋_GB2312" w:cs="宋体"/>
          <w:color w:val="333333"/>
          <w:kern w:val="0"/>
          <w:sz w:val="32"/>
          <w:szCs w:val="32"/>
        </w:rPr>
        <w:t>农业农村局负责全市农机购置补贴异常情况报告工作，对于工作中发现的违规行为，应按相应管理权限，依照本办法有关规定调查处理，并及时向上级农机购置补贴主管部门报告。</w:t>
      </w:r>
    </w:p>
    <w:p>
      <w:pPr>
        <w:widowControl/>
        <w:shd w:val="clear" w:color="auto" w:fill="FFFFFF"/>
        <w:spacing w:line="617" w:lineRule="atLeast"/>
        <w:ind w:firstLine="643"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b/>
          <w:bCs/>
          <w:color w:val="525353"/>
          <w:kern w:val="0"/>
          <w:sz w:val="32"/>
          <w:szCs w:val="32"/>
        </w:rPr>
        <w:t>第六条</w:t>
      </w:r>
      <w:r>
        <w:rPr>
          <w:rFonts w:hint="eastAsia" w:ascii="仿宋_GB2312" w:hAnsi="微软雅黑" w:eastAsia="仿宋_GB2312" w:cs="宋体"/>
          <w:color w:val="525353"/>
          <w:kern w:val="0"/>
          <w:sz w:val="32"/>
          <w:szCs w:val="32"/>
        </w:rPr>
        <w:t xml:space="preserve">  </w:t>
      </w:r>
      <w:r>
        <w:rPr>
          <w:rFonts w:hint="eastAsia" w:ascii="仿宋_GB2312" w:hAnsi="微软雅黑" w:eastAsia="仿宋_GB2312" w:cs="宋体"/>
          <w:color w:val="333333"/>
          <w:kern w:val="0"/>
          <w:sz w:val="32"/>
          <w:szCs w:val="32"/>
        </w:rPr>
        <w:t>本制度解释权由嘉峪关市农业农村局负责。</w:t>
      </w:r>
    </w:p>
    <w:p>
      <w:pPr>
        <w:widowControl/>
        <w:shd w:val="clear" w:color="auto" w:fill="FFFFFF"/>
        <w:spacing w:line="617" w:lineRule="atLeast"/>
        <w:ind w:firstLine="643" w:firstLineChars="200"/>
        <w:jc w:val="left"/>
        <w:rPr>
          <w:rFonts w:hint="eastAsia" w:ascii="微软雅黑" w:hAnsi="微软雅黑" w:eastAsia="微软雅黑" w:cs="宋体"/>
          <w:color w:val="525353"/>
          <w:kern w:val="0"/>
          <w:sz w:val="32"/>
          <w:szCs w:val="32"/>
        </w:rPr>
      </w:pPr>
      <w:r>
        <w:rPr>
          <w:rFonts w:hint="eastAsia" w:ascii="仿宋_GB2312" w:hAnsi="微软雅黑" w:eastAsia="仿宋_GB2312" w:cs="宋体"/>
          <w:b/>
          <w:bCs/>
          <w:color w:val="525353"/>
          <w:kern w:val="0"/>
          <w:sz w:val="32"/>
          <w:szCs w:val="32"/>
        </w:rPr>
        <w:t>第七条</w:t>
      </w:r>
      <w:r>
        <w:rPr>
          <w:rFonts w:hint="eastAsia" w:ascii="仿宋_GB2312" w:hAnsi="微软雅黑" w:eastAsia="仿宋_GB2312" w:cs="宋体"/>
          <w:color w:val="525353"/>
          <w:kern w:val="0"/>
          <w:sz w:val="32"/>
          <w:szCs w:val="32"/>
        </w:rPr>
        <w:t>  </w:t>
      </w:r>
      <w:r>
        <w:rPr>
          <w:rFonts w:hint="eastAsia" w:ascii="仿宋_GB2312" w:hAnsi="微软雅黑" w:eastAsia="仿宋_GB2312" w:cs="宋体"/>
          <w:color w:val="333333"/>
          <w:kern w:val="0"/>
          <w:sz w:val="32"/>
          <w:szCs w:val="32"/>
        </w:rPr>
        <w:t>本制度自发布之日起施行。</w:t>
      </w:r>
    </w:p>
    <w:p>
      <w:pPr>
        <w:rPr>
          <w:sz w:val="32"/>
          <w:szCs w:val="32"/>
        </w:rPr>
      </w:pP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82039"/>
      <w:docPartObj>
        <w:docPartGallery w:val="AutoText"/>
      </w:docPartObj>
    </w:sdtPr>
    <w:sdtEndPr>
      <w:rPr>
        <w:rFonts w:hint="eastAsia" w:ascii="仿宋_GB2312" w:eastAsia="仿宋_GB2312"/>
        <w:sz w:val="28"/>
        <w:szCs w:val="28"/>
      </w:rPr>
    </w:sdtEndPr>
    <w:sdtContent>
      <w:p>
        <w:pPr>
          <w:pStyle w:val="4"/>
          <w:jc w:val="right"/>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1 -</w:t>
        </w:r>
        <w:r>
          <w:rPr>
            <w:rFonts w:hint="eastAsia" w:ascii="仿宋_GB2312" w:eastAsia="仿宋_GB2312"/>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9882040"/>
      <w:docPartObj>
        <w:docPartGallery w:val="AutoText"/>
      </w:docPartObj>
    </w:sdtPr>
    <w:sdtEndPr>
      <w:rPr>
        <w:rFonts w:hint="eastAsia" w:ascii="仿宋_GB2312" w:eastAsia="仿宋_GB2312"/>
        <w:sz w:val="28"/>
        <w:szCs w:val="28"/>
      </w:rPr>
    </w:sdtEndPr>
    <w:sdtContent>
      <w:p>
        <w:pPr>
          <w:pStyle w:val="4"/>
          <w:rPr>
            <w:rFonts w:hint="eastAsia" w:ascii="仿宋_GB2312" w:eastAsia="仿宋_GB2312"/>
            <w:sz w:val="28"/>
            <w:szCs w:val="28"/>
          </w:rPr>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62597"/>
    <w:rsid w:val="000805C9"/>
    <w:rsid w:val="00103221"/>
    <w:rsid w:val="00143856"/>
    <w:rsid w:val="001D0607"/>
    <w:rsid w:val="00203208"/>
    <w:rsid w:val="0027574E"/>
    <w:rsid w:val="00297682"/>
    <w:rsid w:val="002E3203"/>
    <w:rsid w:val="004B0011"/>
    <w:rsid w:val="004E6925"/>
    <w:rsid w:val="00542D5B"/>
    <w:rsid w:val="00557FD5"/>
    <w:rsid w:val="00565F51"/>
    <w:rsid w:val="005B3679"/>
    <w:rsid w:val="005D452E"/>
    <w:rsid w:val="006155D4"/>
    <w:rsid w:val="00780EE2"/>
    <w:rsid w:val="007D5041"/>
    <w:rsid w:val="008C08F7"/>
    <w:rsid w:val="008E529A"/>
    <w:rsid w:val="008F7AC1"/>
    <w:rsid w:val="009151FD"/>
    <w:rsid w:val="00962597"/>
    <w:rsid w:val="00A41AF0"/>
    <w:rsid w:val="00AB04D1"/>
    <w:rsid w:val="00B2592F"/>
    <w:rsid w:val="00B711B7"/>
    <w:rsid w:val="00C5045E"/>
    <w:rsid w:val="00C660FC"/>
    <w:rsid w:val="00D23ACA"/>
    <w:rsid w:val="00DD3F9F"/>
    <w:rsid w:val="00E05FFF"/>
    <w:rsid w:val="00E1361F"/>
    <w:rsid w:val="00E34EF7"/>
    <w:rsid w:val="00E45DB8"/>
    <w:rsid w:val="00E50039"/>
    <w:rsid w:val="00F270E5"/>
    <w:rsid w:val="00F47670"/>
    <w:rsid w:val="00FC2328"/>
    <w:rsid w:val="57A40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semiHidden/>
    <w:unhideWhenUsed/>
    <w:uiPriority w:val="99"/>
    <w:pPr>
      <w:spacing w:after="120" w:afterLines="0" w:afterAutospacing="0" w:line="480" w:lineRule="auto"/>
      <w:ind w:left="420" w:leftChars="200"/>
    </w:pPr>
  </w:style>
  <w:style w:type="paragraph" w:styleId="4">
    <w:name w:val="footer"/>
    <w:basedOn w:val="1"/>
    <w:link w:val="14"/>
    <w:unhideWhenUsed/>
    <w:uiPriority w:val="99"/>
    <w:pPr>
      <w:tabs>
        <w:tab w:val="center" w:pos="4153"/>
        <w:tab w:val="right" w:pos="8306"/>
      </w:tabs>
      <w:snapToGrid w:val="0"/>
      <w:jc w:val="left"/>
    </w:pPr>
    <w:rPr>
      <w:sz w:val="18"/>
      <w:szCs w:val="18"/>
    </w:rPr>
  </w:style>
  <w:style w:type="paragraph" w:styleId="5">
    <w:name w:val="header"/>
    <w:basedOn w:val="1"/>
    <w:link w:val="13"/>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customStyle="1" w:styleId="11">
    <w:name w:val="标题 1 Char"/>
    <w:basedOn w:val="8"/>
    <w:link w:val="3"/>
    <w:uiPriority w:val="9"/>
    <w:rPr>
      <w:rFonts w:ascii="宋体" w:hAnsi="宋体" w:eastAsia="宋体" w:cs="宋体"/>
      <w:b/>
      <w:bCs/>
      <w:kern w:val="36"/>
      <w:sz w:val="48"/>
      <w:szCs w:val="48"/>
    </w:rPr>
  </w:style>
  <w:style w:type="character" w:customStyle="1" w:styleId="12">
    <w:name w:val="article_print"/>
    <w:basedOn w:val="8"/>
    <w:uiPriority w:val="0"/>
  </w:style>
  <w:style w:type="character" w:customStyle="1" w:styleId="13">
    <w:name w:val="页眉 Char"/>
    <w:basedOn w:val="8"/>
    <w:link w:val="5"/>
    <w:semiHidden/>
    <w:uiPriority w:val="99"/>
    <w:rPr>
      <w:sz w:val="18"/>
      <w:szCs w:val="18"/>
    </w:rPr>
  </w:style>
  <w:style w:type="character" w:customStyle="1" w:styleId="14">
    <w:name w:val="页脚 Char"/>
    <w:basedOn w:val="8"/>
    <w:link w:val="4"/>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216</Words>
  <Characters>1237</Characters>
  <Lines>10</Lines>
  <Paragraphs>2</Paragraphs>
  <TotalTime>95</TotalTime>
  <ScaleCrop>false</ScaleCrop>
  <LinksUpToDate>false</LinksUpToDate>
  <CharactersWithSpaces>1451</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2021-01-27T01:50:00Z</dcterms:created>
  <dc:creator>dreamsummit</dc:creator>
  <cp:lastModifiedBy>虎面</cp:lastModifiedBy>
  <cp:lastPrinted>2021-01-27T02:56:00Z</cp:lastPrinted>
  <dcterms:modified xsi:type="dcterms:W3CDTF">2022-02-10T07:25:33Z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0D098AC7A5DD48F691656460A6FF46B8</vt:lpwstr>
  </property>
</Properties>
</file>