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408"/>
        <w:jc w:val="center"/>
        <w:textAlignment w:val="baseline"/>
        <w:rPr>
          <w:rFonts w:hint="eastAsia" w:asciiTheme="minorEastAsia" w:hAnsiTheme="minorEastAsia" w:eastAsiaTheme="minorEastAsia" w:cstheme="minorEastAsia"/>
          <w:i w:val="0"/>
          <w:caps w:val="0"/>
          <w:color w:val="333333"/>
          <w:spacing w:val="0"/>
          <w:sz w:val="36"/>
          <w:szCs w:val="36"/>
        </w:rPr>
      </w:pPr>
      <w:r>
        <w:rPr>
          <w:rStyle w:val="5"/>
          <w:rFonts w:hint="eastAsia" w:asciiTheme="minorEastAsia" w:hAnsiTheme="minorEastAsia" w:eastAsiaTheme="minorEastAsia" w:cstheme="minorEastAsia"/>
          <w:b/>
          <w:bCs w:val="0"/>
          <w:i w:val="0"/>
          <w:caps w:val="0"/>
          <w:color w:val="333333"/>
          <w:spacing w:val="0"/>
          <w:sz w:val="36"/>
          <w:szCs w:val="36"/>
          <w:shd w:val="clear" w:fill="FFFFFF"/>
          <w:vertAlign w:val="baseline"/>
        </w:rPr>
        <w:t>秦州区202</w:t>
      </w:r>
      <w:r>
        <w:rPr>
          <w:rStyle w:val="5"/>
          <w:rFonts w:hint="eastAsia" w:asciiTheme="minorEastAsia" w:hAnsiTheme="minorEastAsia" w:cstheme="minorEastAsia"/>
          <w:b/>
          <w:bCs w:val="0"/>
          <w:i w:val="0"/>
          <w:caps w:val="0"/>
          <w:color w:val="333333"/>
          <w:spacing w:val="0"/>
          <w:sz w:val="36"/>
          <w:szCs w:val="36"/>
          <w:shd w:val="clear" w:fill="FFFFFF"/>
          <w:vertAlign w:val="baseline"/>
          <w:lang w:val="en-US" w:eastAsia="zh-CN"/>
        </w:rPr>
        <w:t>2</w:t>
      </w:r>
      <w:r>
        <w:rPr>
          <w:rStyle w:val="5"/>
          <w:rFonts w:hint="eastAsia" w:asciiTheme="minorEastAsia" w:hAnsiTheme="minorEastAsia" w:eastAsiaTheme="minorEastAsia" w:cstheme="minorEastAsia"/>
          <w:b/>
          <w:bCs w:val="0"/>
          <w:i w:val="0"/>
          <w:caps w:val="0"/>
          <w:color w:val="333333"/>
          <w:spacing w:val="0"/>
          <w:sz w:val="36"/>
          <w:szCs w:val="36"/>
          <w:shd w:val="clear" w:fill="FFFFFF"/>
          <w:vertAlign w:val="baseline"/>
        </w:rPr>
        <w:t>年农机购置补贴实施情况公</w:t>
      </w:r>
      <w:r>
        <w:rPr>
          <w:rStyle w:val="5"/>
          <w:rFonts w:hint="eastAsia" w:asciiTheme="minorEastAsia" w:hAnsiTheme="minorEastAsia" w:eastAsiaTheme="minorEastAsia" w:cstheme="minorEastAsia"/>
          <w:i w:val="0"/>
          <w:caps w:val="0"/>
          <w:color w:val="333333"/>
          <w:spacing w:val="0"/>
          <w:sz w:val="36"/>
          <w:szCs w:val="36"/>
          <w:shd w:val="clear" w:fill="FFFFFF"/>
          <w:vertAlign w:val="baseline"/>
        </w:rPr>
        <w:t>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right="0" w:firstLine="640" w:firstLineChars="200"/>
        <w:textAlignment w:val="baseline"/>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年在省、市农机部门的大力支持和指导下，在区委、区政府的领导下，我区农机购置补贴工作严格贯彻执行上级有关文件规定，切实加强组织领导，合理安排部署，强化工作措施，落实工作责任，始终遵循公开、公正、公平的原则，保障了农民的切身利益。进一步提升了我区农业机械装备水平，增强了农业综合生产能力，取得了较好的社会效益、经济效益。现将全年农机购置补贴工作的有关情况公告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right="0" w:firstLine="640" w:firstLineChars="200"/>
        <w:textAlignment w:val="baseline"/>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right="0" w:firstLine="640" w:firstLineChars="200"/>
        <w:textAlignment w:val="baseline"/>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2022年下达农机购置补贴中央补贴资金120万元,兑付补贴资金119.</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96</w:t>
      </w:r>
      <w:r>
        <w:rPr>
          <w:rFonts w:hint="eastAsia" w:ascii="仿宋_GB2312" w:hAnsi="仿宋_GB2312" w:eastAsia="仿宋_GB2312" w:cs="仿宋_GB2312"/>
          <w:color w:val="000000" w:themeColor="text1"/>
          <w:sz w:val="32"/>
          <w:szCs w:val="32"/>
          <w14:textFill>
            <w14:solidFill>
              <w14:schemeClr w14:val="tx1"/>
            </w14:solidFill>
          </w14:textFill>
        </w:rPr>
        <w:t>万元，受益户数6</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74</w:t>
      </w:r>
      <w:r>
        <w:rPr>
          <w:rFonts w:hint="eastAsia" w:ascii="仿宋_GB2312" w:hAnsi="仿宋_GB2312" w:eastAsia="仿宋_GB2312" w:cs="仿宋_GB2312"/>
          <w:color w:val="000000" w:themeColor="text1"/>
          <w:sz w:val="32"/>
          <w:szCs w:val="32"/>
          <w14:textFill>
            <w14:solidFill>
              <w14:schemeClr w14:val="tx1"/>
            </w14:solidFill>
          </w14:textFill>
        </w:rPr>
        <w:t>户，补贴机具7</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w:t>
      </w:r>
      <w:r>
        <w:rPr>
          <w:rFonts w:hint="eastAsia" w:ascii="仿宋_GB2312" w:hAnsi="仿宋_GB2312" w:eastAsia="仿宋_GB2312" w:cs="仿宋_GB2312"/>
          <w:color w:val="000000" w:themeColor="text1"/>
          <w:sz w:val="32"/>
          <w:szCs w:val="32"/>
          <w14:textFill>
            <w14:solidFill>
              <w14:schemeClr w14:val="tx1"/>
            </w14:solidFill>
          </w14:textFill>
        </w:rPr>
        <w:t>4台（套）。近几年购机者多，好多购机者未能申请到补贴资金，因此我站特向省厅打报告继续申请农机购置补贴资金，截止目前，预录2023年补贴资金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212.73</w:t>
      </w:r>
      <w:r>
        <w:rPr>
          <w:rFonts w:hint="eastAsia" w:ascii="仿宋_GB2312" w:hAnsi="仿宋_GB2312" w:eastAsia="仿宋_GB2312" w:cs="仿宋_GB2312"/>
          <w:color w:val="000000" w:themeColor="text1"/>
          <w:sz w:val="32"/>
          <w:szCs w:val="32"/>
          <w14:textFill>
            <w14:solidFill>
              <w14:schemeClr w14:val="tx1"/>
            </w14:solidFill>
          </w14:textFill>
        </w:rPr>
        <w:t>万元，受益户数</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1042</w:t>
      </w:r>
      <w:r>
        <w:rPr>
          <w:rFonts w:hint="eastAsia" w:ascii="仿宋_GB2312" w:hAnsi="仿宋_GB2312" w:eastAsia="仿宋_GB2312" w:cs="仿宋_GB2312"/>
          <w:color w:val="000000" w:themeColor="text1"/>
          <w:sz w:val="32"/>
          <w:szCs w:val="32"/>
          <w14:textFill>
            <w14:solidFill>
              <w14:schemeClr w14:val="tx1"/>
            </w14:solidFill>
          </w14:textFill>
        </w:rPr>
        <w:t>户，补贴机具</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1243</w:t>
      </w:r>
      <w:r>
        <w:rPr>
          <w:rFonts w:hint="eastAsia" w:ascii="仿宋_GB2312" w:hAnsi="仿宋_GB2312" w:eastAsia="仿宋_GB2312" w:cs="仿宋_GB2312"/>
          <w:color w:val="000000" w:themeColor="text1"/>
          <w:sz w:val="32"/>
          <w:szCs w:val="32"/>
          <w14:textFill>
            <w14:solidFill>
              <w14:schemeClr w14:val="tx1"/>
            </w14:solidFill>
          </w14:textFill>
        </w:rPr>
        <w:t>台（套）。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right="0" w:firstLine="640" w:firstLineChars="200"/>
        <w:textAlignment w:val="baseline"/>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二、工作措施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right="0" w:firstLine="640" w:firstLineChars="200"/>
        <w:textAlignment w:val="baseline"/>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（一）加强组织领导，完善工作责任机制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right="0" w:firstLine="640" w:firstLineChars="200"/>
        <w:textAlignment w:val="baseline"/>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为确保农机购置补贴工作顺利实施，成立了秦州区农机购置补贴工作领导小组，区农业局、财政局充分发挥部门职能作用，严格资金管理，加大监督检查力度，协调解决有关具体问题。同时建立健全农机购置补贴工作机制和内部约束机制，落实“主要领导负总责、分管领导负全责、工作人员直接负责”的工作责任制，层层签订责任书，明确任务和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right="0" w:firstLine="640" w:firstLineChars="200"/>
        <w:textAlignment w:val="baseline"/>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（二）广泛宣传引导，营造良好舆论氛围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right="0" w:firstLine="640" w:firstLineChars="200"/>
        <w:textAlignment w:val="baseline"/>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是充分利用各类网站新闻媒体、会议、印发宣传资料等多种形式，加强农机购置补贴政策的宣传工作，让农民了解农机购置补贴政策内容、程序和要求，提高了农机购置补贴政策知晓率、知情率，扩大了农民的知情权，增加了工作透明度。二是针对全面实行普惠制和“自主购机、定额补贴、县级结算、直补到卡”的兑付方式，我们在农机化网站上公示农机购置补贴资金进度及补贴农户信息表。三是在区补贴办公室和乡镇农机管理服务站设立咨询点，安排专人负责解答群众提出的相关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right="0" w:firstLine="640" w:firstLineChars="200"/>
        <w:textAlignment w:val="baseline"/>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（三）严格按照要求，积极推进信息公开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right="0" w:firstLine="640" w:firstLineChars="200"/>
        <w:textAlignment w:val="baseline"/>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为了积极推进信息公开购置，推进补贴信息管理系统的普及应用，提高透明度和工作效率，区农机总站将农机购置补贴政策实施情况列入政务公开内容，制定印发了《秦州区农机购置补贴信息公开制度》和《秦州区农机购置补贴信息系统管理制度》等五项管理制度，进一步完善了农机购置补贴信息公开专栏，对所有可以公开的补贴资料、文件等信息都全面公开。推行实施后的全程全面公开，让农民享有知情权、参与权、监督权。在补贴资金兑付前，按照结算批次对受益对象信息在甘肃省农机购置补贴信息公开专栏、秦州区人民政府网等网站进行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right="0" w:firstLine="640" w:firstLineChars="200"/>
        <w:textAlignment w:val="baseline"/>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（四）规范程序操作，完善监督管理机制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right="0" w:firstLine="640" w:firstLineChars="200"/>
        <w:textAlignment w:val="baseline"/>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严格执行国务院“三个严禁”和农业部“四个禁止”、“八个不得”及《财政部关于切实加强农机购置补贴政策实施监管工作的通知》（财农〔2011〕17号）、《农业部关于加快推进农机购置补贴廉政风险防控机制建设的意见》（农机发〔2011〕4号）和省局的相关要求，规范操作，严格管理。认真落实“谁办理、谁负责、谁核实、谁负责”的责任追究制度，自觉接受省、市相关部门和有关方面的监督。没有向农民和企业以任何形式收取任何额外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right="0" w:firstLine="640" w:firstLineChars="200"/>
        <w:textAlignment w:val="baseline"/>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（五）强化监督检查，确保补贴政策落实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right="0" w:firstLine="640" w:firstLineChars="200"/>
        <w:textAlignment w:val="baseline"/>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为了确保农机购置补贴工作有序、有效进行，一是成立了农机购置补贴监督检查工作领导小组和农机购置补贴政策落实延伸绩效管理领导小组，充分发挥财政、农机等部门的监管职能，负责督导农机购置补贴政策的全面落实，研究解决工作中出现的问题。二是根据省局的有关规定和要求，认真落实《甘肃省农机产品质量投诉监督管理办法》，进一步加大补贴机具核实力度，做到“见人、见机、见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right="0" w:firstLine="640" w:firstLineChars="200"/>
        <w:textAlignment w:val="baseline"/>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（六）加强工作配合，提高补贴工作效率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right="0" w:firstLine="640" w:firstLineChars="200"/>
        <w:textAlignment w:val="baseline"/>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根据“自主购机、定额补贴、县级结算、直补到卡”的要求，我区对农机购置补贴资金实行“一折统”发放管理。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right="0" w:firstLine="640" w:firstLineChars="200"/>
        <w:textAlignment w:val="baseline"/>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三、实施效果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right="0" w:firstLine="640" w:firstLineChars="200"/>
        <w:textAlignment w:val="baseline"/>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今年以来，农机购置补贴政策的有效实施，有力地推动了全区农业机械化又好又快发展，极大地调动了广大农民购置农机的积极性，拓宽了农民增收致富门路，增加了农民收入，提高了农业综合生产能力。对我区小麦、玉米、马铃薯全程机械化起到了积极的推动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right="0" w:firstLine="640" w:firstLineChars="200"/>
        <w:textAlignment w:val="baseline"/>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在今后的农机购置补贴实施过程中，我们将继续遵循公正、公开、透明、有效的原则，严格执行有关规定，从加大宣传力度，搞好调查摸底，强化人员培训，加强资金监管力度等方面入手，实行阳光操作，严肃工作纪律，狠抓农机购置补贴工作任务落实，全面推进农机化事业健康、有序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right="0" w:firstLine="640" w:firstLineChars="200"/>
        <w:textAlignment w:val="baseline"/>
        <w:rPr>
          <w:rFonts w:hint="eastAsia" w:ascii="仿宋_GB2312" w:hAnsi="仿宋_GB2312" w:eastAsia="仿宋_GB2312" w:cs="仿宋_GB2312"/>
          <w:color w:val="000000" w:themeColor="text1"/>
          <w:sz w:val="32"/>
          <w:szCs w:val="32"/>
          <w14:textFill>
            <w14:solidFill>
              <w14:schemeClr w14:val="tx1"/>
            </w14:solidFill>
          </w14:textFill>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0MTljMjU1MTU2Y2QxZWQ1ZWY1ZmMwYWExMDk2OGEifQ=="/>
  </w:docVars>
  <w:rsids>
    <w:rsidRoot w:val="00000000"/>
    <w:rsid w:val="03C1359D"/>
    <w:rsid w:val="3D0D4A77"/>
    <w:rsid w:val="426D079E"/>
    <w:rsid w:val="69701F4F"/>
    <w:rsid w:val="707D6E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1672</Words>
  <Characters>1696</Characters>
  <Lines>0</Lines>
  <Paragraphs>0</Paragraphs>
  <TotalTime>1</TotalTime>
  <ScaleCrop>false</ScaleCrop>
  <LinksUpToDate>false</LinksUpToDate>
  <CharactersWithSpaces>1696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2022-03-24T07:20:00Z</dcterms:created>
  <dc:creator>lx</dc:creator>
  <cp:lastModifiedBy>Administrator</cp:lastModifiedBy>
  <dcterms:modified xsi:type="dcterms:W3CDTF">2023-02-07T06:14:48Z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B70562EDFD1E4081B9CD74AF2B83BDDB</vt:lpwstr>
  </property>
</Properties>
</file>