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12E4" w:rsidRPr="002132CB" w:rsidRDefault="000612E4" w:rsidP="000612E4">
      <w:pPr>
        <w:pStyle w:val="a5"/>
        <w:widowControl/>
        <w:shd w:val="clear" w:color="auto" w:fill="FFFFFF"/>
        <w:spacing w:beforeAutospacing="0" w:afterAutospacing="0" w:line="456" w:lineRule="atLeast"/>
        <w:ind w:firstLine="408"/>
        <w:jc w:val="center"/>
        <w:textAlignment w:val="baseline"/>
        <w:rPr>
          <w:rStyle w:val="a6"/>
          <w:rFonts w:asciiTheme="majorEastAsia" w:eastAsiaTheme="majorEastAsia" w:hAnsiTheme="majorEastAsia" w:cstheme="minorEastAsia" w:hint="eastAsia"/>
          <w:color w:val="333333"/>
          <w:sz w:val="36"/>
          <w:szCs w:val="36"/>
          <w:shd w:val="clear" w:color="auto" w:fill="FFFFFF"/>
        </w:rPr>
      </w:pPr>
      <w:r w:rsidRPr="002132CB">
        <w:rPr>
          <w:rStyle w:val="a6"/>
          <w:rFonts w:asciiTheme="majorEastAsia" w:eastAsiaTheme="majorEastAsia" w:hAnsiTheme="majorEastAsia" w:cstheme="minorEastAsia" w:hint="eastAsia"/>
          <w:color w:val="333333"/>
          <w:sz w:val="36"/>
          <w:szCs w:val="36"/>
          <w:shd w:val="clear" w:color="auto" w:fill="FFFFFF"/>
        </w:rPr>
        <w:t>秦州区2024年农机购置与应用补贴</w:t>
      </w:r>
    </w:p>
    <w:p w:rsidR="000612E4" w:rsidRPr="002132CB" w:rsidRDefault="000612E4" w:rsidP="000612E4">
      <w:pPr>
        <w:pStyle w:val="a5"/>
        <w:widowControl/>
        <w:shd w:val="clear" w:color="auto" w:fill="FFFFFF"/>
        <w:spacing w:beforeAutospacing="0" w:afterAutospacing="0" w:line="456" w:lineRule="atLeast"/>
        <w:ind w:firstLine="408"/>
        <w:jc w:val="center"/>
        <w:textAlignment w:val="baseline"/>
        <w:rPr>
          <w:rFonts w:asciiTheme="majorEastAsia" w:eastAsiaTheme="majorEastAsia" w:hAnsiTheme="majorEastAsia" w:cstheme="minorEastAsia"/>
          <w:color w:val="333333"/>
          <w:sz w:val="36"/>
          <w:szCs w:val="36"/>
        </w:rPr>
      </w:pPr>
      <w:r>
        <w:rPr>
          <w:rStyle w:val="a6"/>
          <w:rFonts w:asciiTheme="majorEastAsia" w:eastAsiaTheme="majorEastAsia" w:hAnsiTheme="majorEastAsia" w:cstheme="minorEastAsia" w:hint="eastAsia"/>
          <w:color w:val="333333"/>
          <w:sz w:val="36"/>
          <w:szCs w:val="36"/>
          <w:shd w:val="clear" w:color="auto" w:fill="FFFFFF"/>
        </w:rPr>
        <w:t>实施情况公告</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2024年在省、市农机部门的大力支持和指导下，在区委、区政府的领导下，我区农机购置补贴工作严格贯彻执行上级有关文件规定，切实加强组织领导，合理安排部署，强化工作措施，落实工作责任，始终遵循公开、公正、公平的原则，保障了农民的切身利益。进一步提升了我区农业机械装备水平，增强了农业综合生产能力，取得了较好的社会效益、经济效益。现将全年农机购置补贴工作的有关情况公告如下：</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一、基本情况</w:t>
      </w:r>
    </w:p>
    <w:p w:rsidR="000612E4" w:rsidRPr="002132CB" w:rsidRDefault="000612E4" w:rsidP="000612E4">
      <w:pPr>
        <w:ind w:firstLineChars="200" w:firstLine="640"/>
        <w:rPr>
          <w:rFonts w:asciiTheme="minorEastAsia" w:hAnsiTheme="minorEastAsia" w:cs="仿宋_GB2312"/>
          <w:sz w:val="32"/>
          <w:szCs w:val="32"/>
        </w:rPr>
      </w:pPr>
      <w:r>
        <w:rPr>
          <w:rFonts w:asciiTheme="minorEastAsia" w:hAnsiTheme="minorEastAsia" w:cs="仿宋_GB2312" w:hint="eastAsia"/>
          <w:sz w:val="32"/>
          <w:szCs w:val="32"/>
        </w:rPr>
        <w:t>秦州区2024年</w:t>
      </w:r>
      <w:r w:rsidRPr="002132CB">
        <w:rPr>
          <w:rFonts w:asciiTheme="minorEastAsia" w:hAnsiTheme="minorEastAsia" w:cs="仿宋_GB2312" w:hint="eastAsia"/>
          <w:sz w:val="32"/>
          <w:szCs w:val="32"/>
        </w:rPr>
        <w:t>农机购置补贴资金399.313万元，其中：下达中央农机购置补贴资金368万元，2023年结转0.313万元，省级农机购置补贴资金31万元。2024年共使用</w:t>
      </w:r>
      <w:r>
        <w:rPr>
          <w:rFonts w:asciiTheme="minorEastAsia" w:hAnsiTheme="minorEastAsia" w:cs="仿宋_GB2312" w:hint="eastAsia"/>
          <w:sz w:val="32"/>
          <w:szCs w:val="32"/>
        </w:rPr>
        <w:t>农机购置</w:t>
      </w:r>
      <w:r w:rsidRPr="002132CB">
        <w:rPr>
          <w:rFonts w:asciiTheme="minorEastAsia" w:hAnsiTheme="minorEastAsia" w:cs="仿宋_GB2312" w:hint="eastAsia"/>
          <w:sz w:val="32"/>
          <w:szCs w:val="32"/>
        </w:rPr>
        <w:t>补贴资金39</w:t>
      </w:r>
      <w:r>
        <w:rPr>
          <w:rFonts w:asciiTheme="minorEastAsia" w:hAnsiTheme="minorEastAsia" w:cs="仿宋_GB2312" w:hint="eastAsia"/>
          <w:sz w:val="32"/>
          <w:szCs w:val="32"/>
        </w:rPr>
        <w:t>5.655万元，</w:t>
      </w:r>
      <w:r w:rsidRPr="002132CB">
        <w:rPr>
          <w:rFonts w:asciiTheme="minorEastAsia" w:hAnsiTheme="minorEastAsia" w:cs="仿宋_GB2312" w:hint="eastAsia"/>
          <w:sz w:val="32"/>
          <w:szCs w:val="32"/>
        </w:rPr>
        <w:t>补贴机具1387台（套）。2024年农机报废补贴使用资金2.93万元，报废农机3台。结余0.728万元结转到2025年农机购置补贴使用。</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二、工作措施</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（一）加强组织领导，完善工作责任机制</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为确保农机购置补贴工作顺利实施，成立了秦州区农机购置补贴工作领导小组，区农业局、财政局充分发挥部门职能作用，严格资金管理，加大监督检查力度，协调解</w:t>
      </w:r>
      <w:r w:rsidRPr="002132CB">
        <w:rPr>
          <w:rFonts w:asciiTheme="minorEastAsia" w:hAnsiTheme="minorEastAsia" w:cs="仿宋_GB2312" w:hint="eastAsia"/>
          <w:color w:val="000000" w:themeColor="text1"/>
          <w:sz w:val="32"/>
          <w:szCs w:val="32"/>
        </w:rPr>
        <w:lastRenderedPageBreak/>
        <w:t>决有关具体问题。同时建立健全农机购置补贴工作机制和内部约束机制，落实“主要领导负总责、分管领导负全责、工作人员直接负责”的工作责任制，层层签订责任书，明确任务和责任。</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（二）广泛宣传引导，营造良好舆论氛围</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一是充分利用各类网站新闻媒体、会议、印发宣传资料等多种形式，加强农机购置补贴政策的宣传工作，让农民了解农机购置补贴政策内容、程序和要求，提高了农机购置补贴政策知晓率、知情率，扩大了农民的知情权，增加了工作透明度。二是针对全面实行普惠制和“自主购机、定额补贴、县级结算、直补到卡”的兑付方式，我们在农机化网站上公示农机购置补贴资金进度及补贴农户信息表。三是在区补贴办公室和乡镇农机管理服务站设立咨询点，安排专人负责解答群众提出的相关问题。</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（三）严格按照要求，积极推进信息公开</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为了积极推进信息公开购置，推进补贴信息管理系统的普及应用，提高透明度和工作效率，区农机总站将农机购置补贴政策实施情况列入政务公开内容，制定印发了《秦州区农机购置补贴信息公开制度》和《秦州区农机购置补贴信息系统管理制度》等五项管理制度，进一步完善了农机购置补贴信息公开专栏，对所有可以公开的补贴资料、文件等信息都全面公开。推行实施后的全程全面公开，</w:t>
      </w:r>
      <w:r w:rsidRPr="002132CB">
        <w:rPr>
          <w:rFonts w:asciiTheme="minorEastAsia" w:hAnsiTheme="minorEastAsia" w:cs="仿宋_GB2312" w:hint="eastAsia"/>
          <w:color w:val="000000" w:themeColor="text1"/>
          <w:sz w:val="32"/>
          <w:szCs w:val="32"/>
        </w:rPr>
        <w:lastRenderedPageBreak/>
        <w:t>让农民享有知情权、参与权、监督权。在补贴资金兑付前，按照结算批次对受益对象信息在甘肃省农机购置补贴信息公开专栏、秦州区人民政府网等网站进行公示。</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（四）规范程序操作，完善监督管理机制</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严格执行国务院“三个严禁”和农业部“四个禁止”、“八个不得”及《财政部关于切实加强农机购置补贴政策实施监管工作的通知》（财农〔2011〕17号）、《农业部关于加快推进农机购置补贴廉政风险防控机制建设的意见》（农机发〔2011〕4号）和省局的相关要求，规范操作，严格管理。认真落实“谁办理、谁负责、谁核实、谁负责”的责任追究制度，自觉接受省、市相关部门和有关方面的监督。没有向农民和企业以任何形式收取任何额外费用。</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（五）强化监督检查，确保补贴政策落实</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为了确保农机购置补贴工作有序、有效进行，一是成立了农机购置补贴监督检查工作领导小组和农机购置补贴政策落实延伸绩效管理领导小组，充分发挥财政、农机等部门的监管职能，负责督导农机购置补贴政策的全面落实，研究解决工作中出现的问题。二是根据省局的有关规定和要求，认真落实《甘肃省农机产品质量投诉监督管理办法》，进一步加大补贴机具核实力度，做到“见人、见机、见票”。</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（六）加强工作配合，提高补贴工作效率</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lastRenderedPageBreak/>
        <w:t>根据“自主购机、定额补贴、县级结算、直补到卡”的要求，我区对农机购置补贴资金实行“一折统”发放管理。</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三、实施效果</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今年以来，农机购置补贴政策的有效实施，有力地推动了全区农业机械化又好又快发展，极大地调动了广大农民购置农机的积极性，拓宽了农民增收致富门路，增加了农民收入，提高了农业综合生产能力。对我区小麦、玉米、马铃薯全程机械化起到了积极的推动作用。</w:t>
      </w:r>
    </w:p>
    <w:p w:rsidR="000612E4" w:rsidRPr="002132CB" w:rsidRDefault="000612E4" w:rsidP="000612E4">
      <w:pPr>
        <w:pStyle w:val="a5"/>
        <w:widowControl/>
        <w:shd w:val="clear" w:color="auto" w:fill="FFFFFF"/>
        <w:spacing w:beforeAutospacing="0" w:afterAutospacing="0" w:line="456" w:lineRule="atLeast"/>
        <w:ind w:firstLineChars="200" w:firstLine="640"/>
        <w:textAlignment w:val="baseline"/>
        <w:rPr>
          <w:rFonts w:asciiTheme="minorEastAsia" w:hAnsiTheme="minorEastAsia" w:cs="仿宋_GB2312"/>
          <w:color w:val="000000" w:themeColor="text1"/>
          <w:sz w:val="32"/>
          <w:szCs w:val="32"/>
        </w:rPr>
      </w:pPr>
      <w:r w:rsidRPr="002132CB">
        <w:rPr>
          <w:rFonts w:asciiTheme="minorEastAsia" w:hAnsiTheme="minorEastAsia" w:cs="仿宋_GB2312" w:hint="eastAsia"/>
          <w:color w:val="000000" w:themeColor="text1"/>
          <w:sz w:val="32"/>
          <w:szCs w:val="32"/>
        </w:rPr>
        <w:t>在今后的农机购置补贴实施过程中，我们将继续遵循公正、公开、透明、有效的原则，严格执行有关规定，从加大宣传力度，搞好调查摸底，强化人员培训，加强资金监管力度等方面入手，实行阳光操作，严肃工作纪律，狠抓农机购置补贴工作任务落实，全面推进农机化事业健康、有序发展。</w:t>
      </w:r>
    </w:p>
    <w:p w:rsidR="004358AB" w:rsidRPr="000612E4" w:rsidRDefault="004358AB" w:rsidP="000612E4"/>
    <w:sectPr w:rsidR="004358AB" w:rsidRPr="000612E4" w:rsidSect="00ED3A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0798" w:rsidRDefault="007C0798" w:rsidP="007C0798">
      <w:r>
        <w:separator/>
      </w:r>
    </w:p>
  </w:endnote>
  <w:endnote w:type="continuationSeparator" w:id="0">
    <w:p w:rsidR="007C0798" w:rsidRDefault="007C0798" w:rsidP="007C079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20002A87" w:usb1="00000000" w:usb2="00000000"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仿宋_GB2312">
    <w:altName w:val="微软雅黑"/>
    <w:charset w:val="86"/>
    <w:family w:val="modern"/>
    <w:pitch w:val="default"/>
    <w:sig w:usb0="00000000" w:usb1="080E0000" w:usb2="00000000" w:usb3="00000000" w:csb0="00040000"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0798" w:rsidRDefault="007C0798" w:rsidP="007C0798">
      <w:r>
        <w:separator/>
      </w:r>
    </w:p>
  </w:footnote>
  <w:footnote w:type="continuationSeparator" w:id="0">
    <w:p w:rsidR="007C0798" w:rsidRDefault="007C0798" w:rsidP="007C079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720"/>
  <w:characterSpacingControl w:val="doNotCompress"/>
  <w:hdrShapeDefaults>
    <o:shapedefaults v:ext="edit" spidmax="7169"/>
  </w:hdrShapeDefaults>
  <w:footnotePr>
    <w:footnote w:id="-1"/>
    <w:footnote w:id="0"/>
  </w:footnotePr>
  <w:endnotePr>
    <w:endnote w:id="-1"/>
    <w:endnote w:id="0"/>
  </w:endnotePr>
  <w:compat>
    <w:useFELayout/>
  </w:compat>
  <w:rsids>
    <w:rsidRoot w:val="00D31D50"/>
    <w:rsid w:val="000612E4"/>
    <w:rsid w:val="00323B43"/>
    <w:rsid w:val="003D37D8"/>
    <w:rsid w:val="00426133"/>
    <w:rsid w:val="004358AB"/>
    <w:rsid w:val="007C0798"/>
    <w:rsid w:val="008B7726"/>
    <w:rsid w:val="00BD712B"/>
    <w:rsid w:val="00CC18FF"/>
    <w:rsid w:val="00D31D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6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0798"/>
    <w:pPr>
      <w:widowControl w:val="0"/>
      <w:spacing w:after="0" w:line="240" w:lineRule="auto"/>
      <w:jc w:val="both"/>
    </w:pPr>
    <w:rPr>
      <w:rFonts w:eastAsiaTheme="minorEastAsia"/>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7C0798"/>
    <w:pPr>
      <w:widowControl/>
      <w:pBdr>
        <w:bottom w:val="single" w:sz="6" w:space="1" w:color="auto"/>
      </w:pBdr>
      <w:tabs>
        <w:tab w:val="center" w:pos="4153"/>
        <w:tab w:val="right" w:pos="8306"/>
      </w:tabs>
      <w:adjustRightInd w:val="0"/>
      <w:snapToGrid w:val="0"/>
      <w:spacing w:after="200"/>
      <w:jc w:val="center"/>
    </w:pPr>
    <w:rPr>
      <w:rFonts w:ascii="Tahoma" w:eastAsia="微软雅黑" w:hAnsi="Tahoma"/>
      <w:kern w:val="0"/>
      <w:sz w:val="18"/>
      <w:szCs w:val="18"/>
    </w:rPr>
  </w:style>
  <w:style w:type="character" w:customStyle="1" w:styleId="Char">
    <w:name w:val="页眉 Char"/>
    <w:basedOn w:val="a0"/>
    <w:link w:val="a3"/>
    <w:uiPriority w:val="99"/>
    <w:semiHidden/>
    <w:rsid w:val="007C0798"/>
    <w:rPr>
      <w:rFonts w:ascii="Tahoma" w:hAnsi="Tahoma"/>
      <w:sz w:val="18"/>
      <w:szCs w:val="18"/>
    </w:rPr>
  </w:style>
  <w:style w:type="paragraph" w:styleId="a4">
    <w:name w:val="footer"/>
    <w:basedOn w:val="a"/>
    <w:link w:val="Char0"/>
    <w:uiPriority w:val="99"/>
    <w:semiHidden/>
    <w:unhideWhenUsed/>
    <w:rsid w:val="007C0798"/>
    <w:pPr>
      <w:widowControl/>
      <w:tabs>
        <w:tab w:val="center" w:pos="4153"/>
        <w:tab w:val="right" w:pos="8306"/>
      </w:tabs>
      <w:adjustRightInd w:val="0"/>
      <w:snapToGrid w:val="0"/>
      <w:spacing w:after="200"/>
      <w:jc w:val="left"/>
    </w:pPr>
    <w:rPr>
      <w:rFonts w:ascii="Tahoma" w:eastAsia="微软雅黑" w:hAnsi="Tahoma"/>
      <w:kern w:val="0"/>
      <w:sz w:val="18"/>
      <w:szCs w:val="18"/>
    </w:rPr>
  </w:style>
  <w:style w:type="character" w:customStyle="1" w:styleId="Char0">
    <w:name w:val="页脚 Char"/>
    <w:basedOn w:val="a0"/>
    <w:link w:val="a4"/>
    <w:uiPriority w:val="99"/>
    <w:semiHidden/>
    <w:rsid w:val="007C0798"/>
    <w:rPr>
      <w:rFonts w:ascii="Tahoma" w:hAnsi="Tahoma"/>
      <w:sz w:val="18"/>
      <w:szCs w:val="18"/>
    </w:rPr>
  </w:style>
  <w:style w:type="paragraph" w:styleId="a5">
    <w:name w:val="Normal (Web)"/>
    <w:basedOn w:val="a"/>
    <w:qFormat/>
    <w:rsid w:val="007C0798"/>
    <w:pPr>
      <w:spacing w:beforeAutospacing="1" w:afterAutospacing="1"/>
      <w:jc w:val="left"/>
    </w:pPr>
    <w:rPr>
      <w:rFonts w:cs="Times New Roman"/>
      <w:kern w:val="0"/>
      <w:sz w:val="24"/>
    </w:rPr>
  </w:style>
  <w:style w:type="character" w:styleId="a6">
    <w:name w:val="Strong"/>
    <w:basedOn w:val="a0"/>
    <w:qFormat/>
    <w:rsid w:val="007C0798"/>
    <w:rPr>
      <w: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272</Words>
  <Characters>1554</Characters>
  <Application>Microsoft Office Word</Application>
  <DocSecurity>0</DocSecurity>
  <Lines>12</Lines>
  <Paragraphs>3</Paragraphs>
  <ScaleCrop>false</ScaleCrop>
  <Company/>
  <LinksUpToDate>false</LinksUpToDate>
  <CharactersWithSpaces>1823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User</cp:lastModifiedBy>
  <cp:revision>3</cp:revision>
  <dcterms:created xsi:type="dcterms:W3CDTF">2008-09-11T17:20:00Z</dcterms:created>
  <dcterms:modified xsi:type="dcterms:W3CDTF">2024-12-26T07:51:00Z</dcterms:modified>
</cp:coreProperties>
</file>