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6571A">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eastAsia="仿宋_GB2312"/>
          <w:sz w:val="32"/>
          <w:szCs w:val="32"/>
        </w:rPr>
      </w:pPr>
      <w:bookmarkStart w:id="3" w:name="_GoBack"/>
      <w:bookmarkEnd w:id="3"/>
    </w:p>
    <w:p w14:paraId="5C1366ED">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eastAsia="仿宋_GB2312"/>
          <w:sz w:val="32"/>
          <w:szCs w:val="32"/>
        </w:rPr>
      </w:pPr>
    </w:p>
    <w:p w14:paraId="2BCAE296">
      <w:pPr>
        <w:keepNext w:val="0"/>
        <w:keepLines w:val="0"/>
        <w:pageBreakBefore w:val="0"/>
        <w:widowControl w:val="0"/>
        <w:kinsoku/>
        <w:wordWrap/>
        <w:overflowPunct/>
        <w:topLinePunct w:val="0"/>
        <w:autoSpaceDE/>
        <w:autoSpaceDN/>
        <w:bidi w:val="0"/>
        <w:spacing w:line="560" w:lineRule="exact"/>
        <w:ind w:left="0" w:leftChars="0" w:right="0" w:firstLine="0" w:firstLineChars="0"/>
        <w:jc w:val="center"/>
        <w:rPr>
          <w:rFonts w:hint="eastAsia" w:ascii="仿宋_GB2312" w:eastAsia="仿宋_GB2312"/>
          <w:sz w:val="32"/>
          <w:szCs w:val="32"/>
          <w:lang w:eastAsia="zh-CN"/>
        </w:rPr>
      </w:pPr>
    </w:p>
    <w:p w14:paraId="1125D0ED">
      <w:pPr>
        <w:keepNext w:val="0"/>
        <w:keepLines w:val="0"/>
        <w:pageBreakBefore w:val="0"/>
        <w:widowControl w:val="0"/>
        <w:kinsoku/>
        <w:wordWrap/>
        <w:overflowPunct/>
        <w:topLinePunct w:val="0"/>
        <w:autoSpaceDE/>
        <w:autoSpaceDN/>
        <w:bidi w:val="0"/>
        <w:spacing w:line="560" w:lineRule="exact"/>
        <w:ind w:left="0" w:leftChars="0" w:right="0" w:firstLine="0" w:firstLineChars="0"/>
        <w:jc w:val="center"/>
        <w:rPr>
          <w:rFonts w:hint="eastAsia" w:ascii="仿宋_GB2312" w:eastAsia="仿宋_GB2312"/>
          <w:sz w:val="32"/>
          <w:szCs w:val="32"/>
          <w:lang w:eastAsia="zh-CN"/>
        </w:rPr>
      </w:pPr>
    </w:p>
    <w:p w14:paraId="35C9F28D">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仿宋_GB2312" w:eastAsia="仿宋_GB2312"/>
          <w:sz w:val="32"/>
          <w:szCs w:val="32"/>
          <w:lang w:eastAsia="zh-CN"/>
        </w:rPr>
      </w:pPr>
    </w:p>
    <w:p w14:paraId="7147A1BA">
      <w:pPr>
        <w:keepNext w:val="0"/>
        <w:keepLines w:val="0"/>
        <w:pageBreakBefore w:val="0"/>
        <w:widowControl w:val="0"/>
        <w:kinsoku/>
        <w:wordWrap/>
        <w:overflowPunct/>
        <w:topLinePunct w:val="0"/>
        <w:autoSpaceDE/>
        <w:autoSpaceDN/>
        <w:bidi w:val="0"/>
        <w:spacing w:line="560" w:lineRule="exact"/>
        <w:ind w:left="0" w:leftChars="0" w:right="0" w:firstLine="0" w:firstLineChars="0"/>
        <w:jc w:val="center"/>
        <w:rPr>
          <w:rFonts w:hint="eastAsia" w:ascii="仿宋_GB2312" w:eastAsia="仿宋_GB2312"/>
          <w:sz w:val="32"/>
          <w:szCs w:val="32"/>
          <w:lang w:eastAsia="zh-CN"/>
        </w:rPr>
      </w:pPr>
    </w:p>
    <w:p w14:paraId="5E9158C6">
      <w:pPr>
        <w:keepNext w:val="0"/>
        <w:keepLines w:val="0"/>
        <w:pageBreakBefore w:val="0"/>
        <w:widowControl w:val="0"/>
        <w:kinsoku/>
        <w:wordWrap/>
        <w:overflowPunct/>
        <w:topLinePunct w:val="0"/>
        <w:autoSpaceDE/>
        <w:autoSpaceDN/>
        <w:bidi w:val="0"/>
        <w:spacing w:line="560" w:lineRule="exact"/>
        <w:ind w:left="0" w:leftChars="0" w:right="0" w:firstLine="0" w:firstLineChars="0"/>
        <w:jc w:val="center"/>
        <w:rPr>
          <w:rFonts w:ascii="仿宋_GB2312" w:hAnsi="仿宋" w:eastAsia="仿宋_GB2312"/>
          <w:sz w:val="32"/>
          <w:szCs w:val="32"/>
        </w:rPr>
      </w:pPr>
      <w:r>
        <w:rPr>
          <w:rFonts w:hint="eastAsia" w:ascii="仿宋_GB2312" w:eastAsia="仿宋_GB2312"/>
          <w:sz w:val="32"/>
          <w:szCs w:val="32"/>
          <w:lang w:eastAsia="zh-CN"/>
        </w:rPr>
        <w:t>甘</w:t>
      </w:r>
      <w:r>
        <w:rPr>
          <w:rFonts w:hint="eastAsia" w:ascii="仿宋_GB2312" w:eastAsia="仿宋_GB2312"/>
          <w:sz w:val="32"/>
          <w:szCs w:val="32"/>
        </w:rPr>
        <w:t>区农</w:t>
      </w:r>
      <w:r>
        <w:rPr>
          <w:rFonts w:hint="eastAsia" w:ascii="仿宋_GB2312" w:eastAsia="仿宋_GB2312"/>
          <w:sz w:val="32"/>
          <w:szCs w:val="32"/>
          <w:lang w:val="en-US" w:eastAsia="zh-CN"/>
        </w:rPr>
        <w:t>发</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val="en-US" w:eastAsia="zh-CN"/>
        </w:rPr>
        <w:t>280</w:t>
      </w:r>
      <w:r>
        <w:rPr>
          <w:rFonts w:hint="eastAsia" w:ascii="仿宋_GB2312" w:eastAsia="仿宋_GB2312"/>
          <w:sz w:val="32"/>
          <w:szCs w:val="32"/>
        </w:rPr>
        <w:t>号</w:t>
      </w:r>
    </w:p>
    <w:p w14:paraId="5F9763CA">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方正小标宋简体" w:hAnsi="宋体" w:eastAsia="方正小标宋简体"/>
          <w:w w:val="95"/>
          <w:sz w:val="36"/>
          <w:szCs w:val="36"/>
        </w:rPr>
      </w:pPr>
    </w:p>
    <w:p w14:paraId="53B14C13">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甘州区农业农村局</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lang w:eastAsia="zh-CN"/>
        </w:rPr>
        <w:t>甘州区财政局</w:t>
      </w:r>
    </w:p>
    <w:p w14:paraId="0CA9C67D">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关于印发《甘州区202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年农机购置补贴实施方案》的通知</w:t>
      </w:r>
    </w:p>
    <w:p w14:paraId="017F314E">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方正小标宋简体" w:eastAsia="方正小标宋简体"/>
          <w:sz w:val="44"/>
          <w:szCs w:val="44"/>
        </w:rPr>
      </w:pPr>
      <w:r>
        <w:rPr>
          <w:rFonts w:hint="eastAsia" w:ascii="方正小标宋简体" w:hAnsi="宋体" w:eastAsia="方正小标宋简体"/>
          <w:w w:val="95"/>
          <w:sz w:val="44"/>
          <w:szCs w:val="44"/>
        </w:rPr>
        <w:tab/>
      </w:r>
    </w:p>
    <w:p w14:paraId="7ABF220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各乡镇人民政府，</w:t>
      </w:r>
      <w:r>
        <w:rPr>
          <w:rFonts w:hint="eastAsia" w:ascii="仿宋_GB2312" w:hAnsi="仿宋_GB2312" w:eastAsia="仿宋_GB2312" w:cs="仿宋_GB2312"/>
          <w:b w:val="0"/>
          <w:bCs w:val="0"/>
          <w:color w:val="000000"/>
          <w:sz w:val="32"/>
          <w:szCs w:val="32"/>
        </w:rPr>
        <w:t>火车站街道办事处</w:t>
      </w:r>
      <w:r>
        <w:rPr>
          <w:rFonts w:hint="eastAsia" w:ascii="仿宋_GB2312" w:hAnsi="仿宋_GB2312" w:eastAsia="仿宋_GB2312" w:cs="仿宋_GB2312"/>
          <w:b w:val="0"/>
          <w:bCs w:val="0"/>
          <w:sz w:val="32"/>
          <w:szCs w:val="32"/>
        </w:rPr>
        <w:t>，相关部门、单位：</w:t>
      </w:r>
    </w:p>
    <w:p w14:paraId="462FC50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为科学规范实施我区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政策，充分发挥政策效益，推动农业机械化全程全面高质高效发展，有效支撑粮食和重要农产品稳定安全供给，支持全区农民群众及农业生产经营组织购置使用先进适用的农业机械，</w:t>
      </w:r>
      <w:r>
        <w:rPr>
          <w:rFonts w:hint="eastAsia" w:ascii="仿宋_GB2312" w:hAnsi="仿宋_GB2312" w:eastAsia="仿宋_GB2312" w:cs="仿宋_GB2312"/>
          <w:sz w:val="32"/>
          <w:szCs w:val="32"/>
        </w:rPr>
        <w:t>根据甘肃省农业农村厅甘肃省财政厅关于印发《甘肃省202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补贴实施方案》的通知（甘农</w:t>
      </w:r>
      <w:r>
        <w:rPr>
          <w:rFonts w:hint="eastAsia" w:ascii="仿宋_GB2312" w:hAnsi="仿宋_GB2312" w:eastAsia="仿宋_GB2312" w:cs="仿宋_GB2312"/>
          <w:sz w:val="32"/>
          <w:szCs w:val="32"/>
          <w:lang w:eastAsia="zh-CN"/>
        </w:rPr>
        <w:t>机</w:t>
      </w:r>
      <w:r>
        <w:rPr>
          <w:rFonts w:hint="eastAsia" w:ascii="仿宋_GB2312" w:hAnsi="仿宋_GB2312" w:eastAsia="仿宋_GB2312" w:cs="仿宋_GB2312"/>
          <w:sz w:val="32"/>
          <w:szCs w:val="32"/>
        </w:rPr>
        <w:t>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号）精神，结合我区实际,研究制定《甘州区202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 xml:space="preserve">补贴实施方案》印发你们，请遵照执行。 </w:t>
      </w:r>
    </w:p>
    <w:p w14:paraId="2CA0922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附件：甘州区2024—2026年农机购置与应用补贴实施方案</w:t>
      </w:r>
    </w:p>
    <w:p w14:paraId="3B93402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 w:hAnsi="仿宋" w:eastAsia="仿宋" w:cs="仿宋"/>
          <w:sz w:val="32"/>
          <w:szCs w:val="32"/>
        </w:rPr>
      </w:pPr>
    </w:p>
    <w:p w14:paraId="7208E70D">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 w:hAnsi="仿宋" w:eastAsia="仿宋" w:cs="仿宋"/>
          <w:sz w:val="32"/>
          <w:szCs w:val="32"/>
        </w:rPr>
      </w:pPr>
    </w:p>
    <w:p w14:paraId="7EFF6A26">
      <w:pPr>
        <w:pStyle w:val="2"/>
        <w:rPr>
          <w:rFonts w:hint="eastAsia" w:ascii="仿宋" w:hAnsi="仿宋" w:eastAsia="仿宋" w:cs="仿宋"/>
          <w:sz w:val="32"/>
          <w:szCs w:val="32"/>
        </w:rPr>
      </w:pPr>
    </w:p>
    <w:p w14:paraId="30405D41">
      <w:pPr>
        <w:rPr>
          <w:rFonts w:hint="eastAsia" w:ascii="仿宋" w:hAnsi="仿宋" w:eastAsia="仿宋" w:cs="仿宋"/>
          <w:sz w:val="32"/>
          <w:szCs w:val="32"/>
        </w:rPr>
      </w:pPr>
    </w:p>
    <w:p w14:paraId="7FF44A1D">
      <w:pPr>
        <w:pStyle w:val="2"/>
        <w:rPr>
          <w:rFonts w:hint="eastAsia"/>
        </w:rPr>
      </w:pPr>
    </w:p>
    <w:p w14:paraId="582F81FF">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甘州区农业</w:t>
      </w:r>
      <w:r>
        <w:rPr>
          <w:rFonts w:hint="eastAsia" w:ascii="仿宋_GB2312" w:hAnsi="仿宋_GB2312" w:eastAsia="仿宋_GB2312" w:cs="仿宋_GB2312"/>
          <w:sz w:val="32"/>
          <w:szCs w:val="32"/>
          <w:lang w:eastAsia="zh-CN"/>
        </w:rPr>
        <w:t>农村局</w:t>
      </w:r>
      <w:r>
        <w:rPr>
          <w:rFonts w:hint="eastAsia" w:ascii="仿宋_GB2312" w:hAnsi="仿宋_GB2312" w:eastAsia="仿宋_GB2312" w:cs="仿宋_GB2312"/>
          <w:sz w:val="32"/>
          <w:szCs w:val="32"/>
          <w:lang w:val="en-US" w:eastAsia="zh-CN"/>
        </w:rPr>
        <w:t xml:space="preserve">      甘州区财政局</w:t>
      </w:r>
    </w:p>
    <w:p w14:paraId="481B276F">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14:paraId="1CA595FB">
      <w:pPr>
        <w:pStyle w:val="2"/>
        <w:keepNext w:val="0"/>
        <w:keepLines w:val="0"/>
        <w:pageBreakBefore w:val="0"/>
        <w:widowControl w:val="0"/>
        <w:kinsoku/>
        <w:wordWrap/>
        <w:overflowPunct/>
        <w:topLinePunct w:val="0"/>
        <w:autoSpaceDE/>
        <w:autoSpaceDN/>
        <w:bidi w:val="0"/>
        <w:spacing w:before="0" w:after="0" w:line="560" w:lineRule="exact"/>
        <w:ind w:left="0" w:leftChars="0" w:right="0" w:firstLine="0" w:firstLineChars="0"/>
        <w:jc w:val="both"/>
        <w:rPr>
          <w:rFonts w:hint="eastAsia" w:ascii="仿宋_GB2312" w:hAnsi="仿宋_GB2312" w:eastAsia="仿宋_GB2312" w:cs="仿宋_GB2312"/>
          <w:sz w:val="32"/>
          <w:szCs w:val="32"/>
        </w:rPr>
      </w:pPr>
    </w:p>
    <w:p w14:paraId="40395BC6">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仿宋_GB2312" w:hAnsi="仿宋_GB2312" w:eastAsia="仿宋_GB2312" w:cs="仿宋_GB2312"/>
          <w:sz w:val="32"/>
          <w:szCs w:val="32"/>
        </w:rPr>
      </w:pPr>
    </w:p>
    <w:p w14:paraId="0556C1B3">
      <w:pPr>
        <w:pStyle w:val="2"/>
        <w:keepNext w:val="0"/>
        <w:keepLines w:val="0"/>
        <w:pageBreakBefore w:val="0"/>
        <w:widowControl w:val="0"/>
        <w:kinsoku/>
        <w:wordWrap/>
        <w:overflowPunct/>
        <w:topLinePunct w:val="0"/>
        <w:autoSpaceDE/>
        <w:autoSpaceDN/>
        <w:bidi w:val="0"/>
        <w:spacing w:before="0" w:after="0" w:line="560" w:lineRule="exact"/>
        <w:ind w:left="0" w:leftChars="0" w:right="0" w:firstLine="0" w:firstLineChars="0"/>
        <w:jc w:val="both"/>
        <w:rPr>
          <w:rFonts w:hint="eastAsia" w:ascii="仿宋_GB2312" w:hAnsi="仿宋_GB2312" w:eastAsia="仿宋_GB2312" w:cs="仿宋_GB2312"/>
          <w:sz w:val="32"/>
          <w:szCs w:val="32"/>
        </w:rPr>
      </w:pPr>
    </w:p>
    <w:p w14:paraId="2602B51F">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仿宋_GB2312" w:hAnsi="仿宋_GB2312" w:eastAsia="仿宋_GB2312" w:cs="仿宋_GB2312"/>
          <w:sz w:val="32"/>
          <w:szCs w:val="32"/>
        </w:rPr>
      </w:pPr>
    </w:p>
    <w:p w14:paraId="4DA88384">
      <w:pPr>
        <w:pStyle w:val="2"/>
        <w:keepNext w:val="0"/>
        <w:keepLines w:val="0"/>
        <w:pageBreakBefore w:val="0"/>
        <w:widowControl w:val="0"/>
        <w:kinsoku/>
        <w:wordWrap/>
        <w:overflowPunct/>
        <w:topLinePunct w:val="0"/>
        <w:autoSpaceDE/>
        <w:autoSpaceDN/>
        <w:bidi w:val="0"/>
        <w:spacing w:before="0" w:after="0" w:line="560" w:lineRule="exact"/>
        <w:ind w:left="0" w:leftChars="0" w:right="0" w:firstLine="0" w:firstLineChars="0"/>
        <w:jc w:val="both"/>
        <w:rPr>
          <w:rFonts w:hint="eastAsia" w:ascii="仿宋_GB2312" w:hAnsi="仿宋_GB2312" w:eastAsia="仿宋_GB2312" w:cs="仿宋_GB2312"/>
          <w:sz w:val="32"/>
          <w:szCs w:val="32"/>
        </w:rPr>
      </w:pPr>
    </w:p>
    <w:p w14:paraId="3D722EBE">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仿宋_GB2312" w:hAnsi="仿宋_GB2312" w:eastAsia="仿宋_GB2312" w:cs="仿宋_GB2312"/>
          <w:sz w:val="32"/>
          <w:szCs w:val="32"/>
        </w:rPr>
      </w:pPr>
    </w:p>
    <w:p w14:paraId="64A32CD7">
      <w:pPr>
        <w:pStyle w:val="2"/>
        <w:keepNext w:val="0"/>
        <w:keepLines w:val="0"/>
        <w:pageBreakBefore w:val="0"/>
        <w:widowControl w:val="0"/>
        <w:kinsoku/>
        <w:wordWrap/>
        <w:overflowPunct/>
        <w:topLinePunct w:val="0"/>
        <w:autoSpaceDE/>
        <w:autoSpaceDN/>
        <w:bidi w:val="0"/>
        <w:spacing w:before="0" w:after="0" w:line="560" w:lineRule="exact"/>
        <w:ind w:left="0" w:leftChars="0" w:right="0" w:firstLine="0" w:firstLineChars="0"/>
        <w:jc w:val="both"/>
        <w:rPr>
          <w:rFonts w:hint="eastAsia" w:ascii="仿宋_GB2312" w:hAnsi="仿宋_GB2312" w:eastAsia="仿宋_GB2312" w:cs="仿宋_GB2312"/>
          <w:sz w:val="32"/>
          <w:szCs w:val="32"/>
        </w:rPr>
      </w:pPr>
    </w:p>
    <w:p w14:paraId="25B15A98">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仿宋_GB2312" w:hAnsi="仿宋_GB2312" w:eastAsia="仿宋_GB2312" w:cs="仿宋_GB2312"/>
          <w:sz w:val="32"/>
          <w:szCs w:val="32"/>
        </w:rPr>
      </w:pPr>
    </w:p>
    <w:p w14:paraId="69DECD3D">
      <w:pPr>
        <w:pStyle w:val="2"/>
        <w:keepNext w:val="0"/>
        <w:keepLines w:val="0"/>
        <w:pageBreakBefore w:val="0"/>
        <w:widowControl w:val="0"/>
        <w:kinsoku/>
        <w:wordWrap/>
        <w:overflowPunct/>
        <w:topLinePunct w:val="0"/>
        <w:autoSpaceDE/>
        <w:autoSpaceDN/>
        <w:bidi w:val="0"/>
        <w:spacing w:before="0" w:after="0" w:line="560" w:lineRule="exact"/>
        <w:ind w:left="0" w:leftChars="0" w:right="0" w:firstLine="0" w:firstLineChars="0"/>
        <w:jc w:val="both"/>
        <w:rPr>
          <w:rFonts w:hint="eastAsia" w:ascii="仿宋_GB2312" w:hAnsi="仿宋_GB2312" w:eastAsia="仿宋_GB2312" w:cs="仿宋_GB2312"/>
          <w:sz w:val="32"/>
          <w:szCs w:val="32"/>
        </w:rPr>
      </w:pPr>
    </w:p>
    <w:p w14:paraId="1FF5B67E">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仿宋_GB2312" w:hAnsi="仿宋_GB2312" w:eastAsia="仿宋_GB2312" w:cs="仿宋_GB2312"/>
          <w:sz w:val="32"/>
          <w:szCs w:val="32"/>
        </w:rPr>
      </w:pPr>
    </w:p>
    <w:p w14:paraId="502EEDF7">
      <w:pPr>
        <w:pStyle w:val="2"/>
        <w:keepNext w:val="0"/>
        <w:keepLines w:val="0"/>
        <w:pageBreakBefore w:val="0"/>
        <w:widowControl w:val="0"/>
        <w:kinsoku/>
        <w:wordWrap/>
        <w:overflowPunct/>
        <w:topLinePunct w:val="0"/>
        <w:autoSpaceDE/>
        <w:autoSpaceDN/>
        <w:bidi w:val="0"/>
        <w:spacing w:before="0" w:after="0" w:line="560" w:lineRule="exact"/>
        <w:ind w:left="0" w:leftChars="0" w:right="0" w:firstLine="0" w:firstLineChars="0"/>
        <w:jc w:val="both"/>
        <w:rPr>
          <w:rFonts w:hint="eastAsia" w:ascii="仿宋_GB2312" w:hAnsi="仿宋_GB2312" w:eastAsia="仿宋_GB2312" w:cs="仿宋_GB2312"/>
          <w:sz w:val="32"/>
          <w:szCs w:val="32"/>
        </w:rPr>
      </w:pPr>
    </w:p>
    <w:p w14:paraId="21A737CD">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仿宋_GB2312" w:hAnsi="仿宋_GB2312" w:eastAsia="仿宋_GB2312" w:cs="仿宋_GB2312"/>
          <w:sz w:val="32"/>
          <w:szCs w:val="32"/>
        </w:rPr>
      </w:pPr>
    </w:p>
    <w:p w14:paraId="1A1574C5">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方正小标宋简体" w:eastAsia="方正小标宋简体"/>
          <w:sz w:val="44"/>
          <w:szCs w:val="44"/>
        </w:rPr>
      </w:pPr>
    </w:p>
    <w:p w14:paraId="678541CF">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方正小标宋简体" w:eastAsia="方正小标宋简体"/>
          <w:sz w:val="44"/>
          <w:szCs w:val="44"/>
        </w:rPr>
      </w:pPr>
    </w:p>
    <w:p w14:paraId="0FD67CF0">
      <w:pPr>
        <w:keepNext w:val="0"/>
        <w:keepLines w:val="0"/>
        <w:pageBreakBefore w:val="0"/>
        <w:widowControl w:val="0"/>
        <w:kinsoku/>
        <w:wordWrap/>
        <w:overflowPunct/>
        <w:topLinePunct w:val="0"/>
        <w:autoSpaceDE/>
        <w:autoSpaceDN/>
        <w:bidi w:val="0"/>
        <w:spacing w:line="560" w:lineRule="exact"/>
        <w:ind w:left="0" w:leftChars="0" w:right="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甘州区2024—2026年农机购置</w:t>
      </w:r>
      <w:r>
        <w:rPr>
          <w:rFonts w:hint="eastAsia" w:ascii="方正小标宋简体" w:eastAsia="方正小标宋简体"/>
          <w:sz w:val="44"/>
          <w:szCs w:val="44"/>
          <w:lang w:eastAsia="zh-CN"/>
        </w:rPr>
        <w:t>与应用</w:t>
      </w:r>
      <w:r>
        <w:rPr>
          <w:rFonts w:hint="eastAsia" w:ascii="方正小标宋简体" w:eastAsia="方正小标宋简体"/>
          <w:sz w:val="44"/>
          <w:szCs w:val="44"/>
        </w:rPr>
        <w:t>补贴      实施方案</w:t>
      </w:r>
    </w:p>
    <w:p w14:paraId="6F2EB714">
      <w:pPr>
        <w:pStyle w:val="2"/>
        <w:rPr>
          <w:rFonts w:hint="eastAsia"/>
        </w:rPr>
      </w:pPr>
    </w:p>
    <w:p w14:paraId="07964A39">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确保农业机械（以下简称农机）购置与应用补贴政策公开、公正、公平和规范、廉洁实施，充分发挥农机购置与应用补贴政策效益，推动全区农作物生产全程机械化，全面提高农机装备水平、作业水平和服务水平，促进全区农业机械化全程全面高质量发展，提升农业综合生产能力，根据</w:t>
      </w:r>
      <w:r>
        <w:rPr>
          <w:rFonts w:hint="eastAsia" w:ascii="仿宋_GB2312" w:hAnsi="仿宋_GB2312" w:eastAsia="仿宋_GB2312" w:cs="仿宋_GB2312"/>
          <w:sz w:val="32"/>
          <w:szCs w:val="32"/>
        </w:rPr>
        <w:t>《甘肃省202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年农机购置</w:t>
      </w:r>
      <w:r>
        <w:rPr>
          <w:rFonts w:hint="eastAsia" w:hAnsi="仿宋_GB2312" w:cs="仿宋_GB2312"/>
          <w:sz w:val="32"/>
          <w:szCs w:val="32"/>
          <w:lang w:eastAsia="zh-CN"/>
        </w:rPr>
        <w:t>与应用</w:t>
      </w:r>
      <w:r>
        <w:rPr>
          <w:rFonts w:hint="eastAsia" w:ascii="仿宋_GB2312" w:hAnsi="仿宋_GB2312" w:eastAsia="仿宋_GB2312" w:cs="仿宋_GB2312"/>
          <w:sz w:val="32"/>
          <w:szCs w:val="32"/>
        </w:rPr>
        <w:t>补贴实施方案》</w:t>
      </w:r>
      <w:r>
        <w:rPr>
          <w:rFonts w:hint="eastAsia" w:ascii="仿宋_GB2312" w:hAnsi="仿宋_GB2312" w:eastAsia="仿宋_GB2312" w:cs="仿宋_GB2312"/>
          <w:sz w:val="32"/>
          <w:szCs w:val="32"/>
          <w:lang w:eastAsia="zh-CN"/>
        </w:rPr>
        <w:t>要求，结合甘州区实际，制定《甘州区202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年农机购置与应用补贴实施方案》。</w:t>
      </w:r>
    </w:p>
    <w:p w14:paraId="437EF2A7">
      <w:pPr>
        <w:pStyle w:val="9"/>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leftChars="0" w:right="0" w:firstLine="640" w:firstLineChars="200"/>
        <w:jc w:val="both"/>
        <w:textAlignment w:val="auto"/>
        <w:rPr>
          <w:rFonts w:ascii="黑体" w:hAnsi="黑体" w:eastAsia="黑体" w:cs="Times New Roman"/>
          <w:b/>
          <w:bCs/>
          <w:color w:val="000000"/>
          <w:sz w:val="32"/>
          <w:szCs w:val="32"/>
        </w:rPr>
      </w:pPr>
      <w:r>
        <w:rPr>
          <w:rFonts w:hint="eastAsia" w:ascii="黑体" w:hAnsi="黑体" w:eastAsia="黑体"/>
          <w:sz w:val="32"/>
          <w:szCs w:val="32"/>
        </w:rPr>
        <w:t>一、</w:t>
      </w:r>
      <w:r>
        <w:rPr>
          <w:rFonts w:ascii="黑体" w:hAnsi="黑体" w:eastAsia="黑体"/>
          <w:sz w:val="32"/>
          <w:szCs w:val="32"/>
        </w:rPr>
        <w:t>总体要求</w:t>
      </w:r>
    </w:p>
    <w:p w14:paraId="0E4BDBCE">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cs="仿宋_GB2312"/>
        </w:rPr>
      </w:pPr>
      <w:r>
        <w:rPr>
          <w:rFonts w:hint="eastAsia" w:ascii="仿宋_GB2312" w:hAnsi="仿宋_GB2312" w:eastAsia="仿宋_GB2312" w:cs="仿宋_GB2312"/>
          <w:sz w:val="32"/>
          <w:szCs w:val="32"/>
          <w:lang w:eastAsia="zh-CN"/>
        </w:rPr>
        <w:t>以</w:t>
      </w:r>
      <w:bookmarkStart w:id="0" w:name="_Hlk151296686"/>
      <w:r>
        <w:rPr>
          <w:rFonts w:hint="eastAsia" w:ascii="仿宋_GB2312" w:hAnsi="仿宋_GB2312" w:eastAsia="仿宋_GB2312" w:cs="仿宋_GB2312"/>
          <w:sz w:val="32"/>
          <w:szCs w:val="32"/>
          <w:lang w:eastAsia="zh-CN"/>
        </w:rPr>
        <w:t>习近平新时代中国特色社会主义思想</w:t>
      </w:r>
      <w:bookmarkEnd w:id="0"/>
      <w:r>
        <w:rPr>
          <w:rFonts w:hint="eastAsia" w:ascii="仿宋_GB2312" w:hAnsi="仿宋_GB2312" w:eastAsia="仿宋_GB2312" w:cs="仿宋_GB2312"/>
          <w:sz w:val="32"/>
          <w:szCs w:val="32"/>
          <w:lang w:eastAsia="zh-CN"/>
        </w:rPr>
        <w:t>为指导，全面贯彻落实党的二十大和二十届二中全会精神，深入贯彻落实习近平总书记关于“三农”工作的重要论述，按照党中央国务院、省委省政府决策部署，根据《农业农村部办公厅 财政部办公厅关于印发〈2024—2026年农机购置与应用补贴实施意见〉的通知》（农办机〔2024〕3号）《甘肃省人民政府办公厅关于印发〈甘肃省建设丘陵山区适用小型机械研发制造推广应用先导区方案〉的通知》（甘政办发〔2023〕96号）《甘肃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农机购置与应用补贴实施方案》等文件要求，锚定建设农业强区目标，以稳定实施政策、充分发挥效益为主线，以推动科技自主创新、智能绿色低碳发展为路径，坚持开拓创新、公平公正、优机优补、严惩违规，支持全区广大农民群众及农业生产经营组织购置使用先进适用的农业机械，引领农机研产推用全链协同，加快发展新质生产力，推进全区农业机械化全程全面高质量发展，为确保守住国家粮食安全和不发生规模性返贫底线、加快全区农业农村现代化提供坚实支撑。</w:t>
      </w:r>
    </w:p>
    <w:p w14:paraId="0389DFCC">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640" w:firstLineChars="200"/>
        <w:jc w:val="both"/>
        <w:textAlignment w:val="auto"/>
        <w:rPr>
          <w:rFonts w:ascii="黑体" w:hAnsi="黑体" w:eastAsia="黑体"/>
          <w:color w:val="000000"/>
          <w:kern w:val="0"/>
          <w:sz w:val="32"/>
          <w:szCs w:val="32"/>
        </w:rPr>
      </w:pPr>
      <w:r>
        <w:rPr>
          <w:rFonts w:hint="eastAsia" w:ascii="黑体" w:hAnsi="黑体" w:eastAsia="黑体"/>
          <w:color w:val="000000"/>
          <w:kern w:val="0"/>
          <w:sz w:val="32"/>
          <w:szCs w:val="32"/>
          <w:lang w:eastAsia="zh-CN"/>
        </w:rPr>
        <w:t>二、</w:t>
      </w:r>
      <w:r>
        <w:rPr>
          <w:rFonts w:ascii="黑体" w:hAnsi="黑体" w:eastAsia="黑体"/>
          <w:color w:val="000000"/>
          <w:kern w:val="0"/>
          <w:sz w:val="32"/>
          <w:szCs w:val="32"/>
        </w:rPr>
        <w:t>实施重点</w:t>
      </w:r>
    </w:p>
    <w:p w14:paraId="500C815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firstLine="643" w:firstLineChars="200"/>
        <w:jc w:val="both"/>
        <w:textAlignment w:val="auto"/>
        <w:rPr>
          <w:rFonts w:ascii="Times New Roman" w:hAnsi="Times New Roman" w:eastAsia="仿宋_GB2312"/>
          <w:color w:val="000000"/>
          <w:kern w:val="0"/>
          <w:sz w:val="32"/>
          <w:szCs w:val="32"/>
        </w:rPr>
      </w:pPr>
      <w:r>
        <w:rPr>
          <w:rFonts w:hint="eastAsia" w:ascii="楷体_GB2312" w:hAnsi="CESI楷体-GB2312" w:eastAsia="楷体_GB2312"/>
          <w:b/>
          <w:color w:val="000000"/>
          <w:kern w:val="0"/>
          <w:sz w:val="32"/>
          <w:szCs w:val="32"/>
          <w:lang w:eastAsia="zh-CN"/>
        </w:rPr>
        <w:t>（一）</w:t>
      </w:r>
      <w:r>
        <w:rPr>
          <w:rFonts w:hint="eastAsia" w:ascii="楷体_GB2312" w:hAnsi="CESI楷体-GB2312" w:eastAsia="楷体_GB2312"/>
          <w:b/>
          <w:color w:val="000000"/>
          <w:kern w:val="0"/>
          <w:sz w:val="32"/>
          <w:szCs w:val="32"/>
        </w:rPr>
        <w:t>在支持重点方面突出稳产保供。</w:t>
      </w:r>
      <w:r>
        <w:rPr>
          <w:rFonts w:hint="eastAsia" w:ascii="仿宋_GB2312" w:hAnsi="仿宋_GB2312" w:eastAsia="仿宋_GB2312" w:cs="仿宋_GB2312"/>
          <w:sz w:val="32"/>
          <w:szCs w:val="32"/>
          <w:lang w:eastAsia="zh-CN"/>
        </w:rPr>
        <w:t>以保障粮食和重要农产品稳定安全供给为着力点，重点围绕制种玉米、蔬菜和畜牧养殖三大重要农畜产品生产所需先进适用机具有序纳入补贴范围，应补尽补。聚焦机播增产和机收减损，重点支持高性能播种机、大型智能高端联合收获机械等有助于粮油等主要作物大面积单产提升、沿山冷凉灌区农业生产急需、农机装备补短板、农业其他领域发展急需，以及事关国家重大战略实施的农业机械的推广应用。</w:t>
      </w:r>
    </w:p>
    <w:p w14:paraId="14CBAA3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firstLine="643" w:firstLineChars="200"/>
        <w:jc w:val="both"/>
        <w:textAlignment w:val="auto"/>
        <w:rPr>
          <w:rFonts w:hint="eastAsia" w:ascii="Times New Roman" w:hAnsi="Times New Roman"/>
          <w:color w:val="000000"/>
          <w:kern w:val="0"/>
          <w:sz w:val="32"/>
          <w:szCs w:val="32"/>
          <w:lang w:eastAsia="zh-CN"/>
        </w:rPr>
      </w:pPr>
      <w:r>
        <w:rPr>
          <w:rFonts w:hint="eastAsia" w:ascii="楷体_GB2312" w:hAnsi="CESI楷体-GB2312" w:eastAsia="楷体_GB2312"/>
          <w:b/>
          <w:color w:val="000000"/>
          <w:kern w:val="0"/>
          <w:sz w:val="32"/>
          <w:szCs w:val="32"/>
          <w:lang w:eastAsia="zh-CN"/>
        </w:rPr>
        <w:t>（二）</w:t>
      </w:r>
      <w:r>
        <w:rPr>
          <w:rFonts w:ascii="Times New Roman" w:hAnsi="CESI楷体-GB2312" w:eastAsia="CESI楷体-GB2312"/>
          <w:b/>
          <w:color w:val="000000"/>
          <w:kern w:val="0"/>
          <w:sz w:val="32"/>
          <w:szCs w:val="32"/>
        </w:rPr>
        <w:t>在补贴资质方面突出自主创新和安全可控。</w:t>
      </w:r>
      <w:r>
        <w:rPr>
          <w:rFonts w:hint="eastAsia" w:ascii="仿宋_GB2312" w:hAnsi="仿宋_GB2312" w:eastAsia="仿宋_GB2312" w:cs="仿宋_GB2312"/>
          <w:sz w:val="32"/>
          <w:szCs w:val="32"/>
          <w:lang w:eastAsia="zh-CN"/>
        </w:rPr>
        <w:t>以推动农机产业自主安全可控和高质量发展为导向，开展全区适用中小型机械鉴定机制创新,积极开辟急需适用农机鉴定“绿色通道”，支持全区农机制造企业积极开展创新产品补贴资质，有力有效提升全区农机鉴定产品服务农业。</w:t>
      </w:r>
    </w:p>
    <w:p w14:paraId="647139EF">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43" w:firstLineChars="200"/>
        <w:jc w:val="both"/>
        <w:textAlignment w:val="auto"/>
        <w:rPr>
          <w:rFonts w:hint="eastAsia" w:ascii="Times New Roman" w:hAnsi="Times New Roman"/>
          <w:color w:val="000000"/>
          <w:kern w:val="0"/>
          <w:sz w:val="32"/>
          <w:szCs w:val="32"/>
          <w:lang w:val="en-US" w:eastAsia="zh-CN"/>
        </w:rPr>
      </w:pPr>
      <w:r>
        <w:rPr>
          <w:rFonts w:hint="eastAsia" w:ascii="楷体_GB2312" w:hAnsi="CESI楷体-GB2312" w:eastAsia="楷体_GB2312"/>
          <w:b/>
          <w:color w:val="000000"/>
          <w:kern w:val="0"/>
          <w:sz w:val="32"/>
          <w:szCs w:val="32"/>
        </w:rPr>
        <w:t>（三）在补贴标准方面着力做到有升有降。</w:t>
      </w:r>
      <w:r>
        <w:rPr>
          <w:rFonts w:hint="eastAsia" w:ascii="仿宋_GB2312" w:hAnsi="仿宋_GB2312" w:eastAsia="仿宋_GB2312" w:cs="仿宋_GB2312"/>
          <w:sz w:val="32"/>
          <w:szCs w:val="32"/>
          <w:lang w:eastAsia="zh-CN"/>
        </w:rPr>
        <w:t>根据区域农业生产特点、农机化发展阶段和需求，遵照执行全省实施差异化补贴。提高部分重点机具补贴额，测算比例从30%提高到35%，包括促进粮油等主要作物大面积单产提升、丘陵山区农业生产急需、农机装备补短板、混合动力或电动农机等重点机具。在满足中央和省级资金需求和使用要求的前提下，对区域内严重不足、生产急需的移动式烘干机、履带式拖拉机、履带式收获机补贴额，测算比例可提高至40%，纳入全国农机作业指挥调度平台统一管理。对保有量明显过多、技术相对落后的机具,实行降低补贴标准、退坡处理直至退出补贴范围。</w:t>
      </w:r>
      <w:r>
        <w:rPr>
          <w:rFonts w:hint="eastAsia" w:ascii="Times New Roman" w:hAnsi="Times New Roman"/>
          <w:color w:val="000000"/>
          <w:kern w:val="0"/>
          <w:sz w:val="32"/>
          <w:szCs w:val="32"/>
          <w:lang w:val="en-US" w:eastAsia="zh-CN"/>
        </w:rPr>
        <w:t xml:space="preserve">                 </w:t>
      </w:r>
    </w:p>
    <w:p w14:paraId="4B1101AB">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43" w:firstLineChars="200"/>
        <w:jc w:val="both"/>
        <w:textAlignment w:val="auto"/>
        <w:rPr>
          <w:rFonts w:hint="eastAsia" w:ascii="仿宋_GB2312" w:hAnsi="Times New Roman" w:eastAsia="仿宋_GB2312"/>
          <w:color w:val="000000"/>
          <w:kern w:val="0"/>
          <w:sz w:val="32"/>
          <w:szCs w:val="32"/>
        </w:rPr>
      </w:pPr>
      <w:r>
        <w:rPr>
          <w:rFonts w:hint="eastAsia" w:ascii="楷体_GB2312" w:hAnsi="CESI楷体-GB2312" w:eastAsia="楷体_GB2312"/>
          <w:b/>
          <w:color w:val="000000"/>
          <w:kern w:val="0"/>
          <w:sz w:val="32"/>
          <w:szCs w:val="32"/>
        </w:rPr>
        <w:t>（四）在实施创新方面着力支持先行先试。</w:t>
      </w:r>
      <w:r>
        <w:rPr>
          <w:rFonts w:hint="eastAsia" w:ascii="仿宋_GB2312" w:hAnsi="仿宋_GB2312" w:eastAsia="仿宋_GB2312" w:cs="仿宋_GB2312"/>
          <w:sz w:val="32"/>
          <w:szCs w:val="32"/>
          <w:lang w:eastAsia="zh-CN"/>
        </w:rPr>
        <w:t>结合甘州区农业产业发展实际，争取实施农机研发制造推广应用一体化试点，重点抓好制种玉米去雄收获技术试验验证，农用残膜捡拾膜杂分离收集处理，加快先进适用短板创新机具研发制造、熟化定型和推广应用。</w:t>
      </w:r>
      <w:r>
        <w:rPr>
          <w:rFonts w:hint="eastAsia" w:ascii="Times New Roman" w:hAnsi="Times New Roman"/>
          <w:color w:val="000000"/>
          <w:kern w:val="0"/>
          <w:sz w:val="32"/>
          <w:szCs w:val="32"/>
          <w:lang w:val="en-US" w:eastAsia="zh-CN"/>
        </w:rPr>
        <w:t xml:space="preserve">  </w:t>
      </w:r>
    </w:p>
    <w:p w14:paraId="0C1B997D">
      <w:pPr>
        <w:pStyle w:val="9"/>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firstLine="643" w:firstLineChars="200"/>
        <w:jc w:val="both"/>
        <w:textAlignment w:val="auto"/>
        <w:rPr>
          <w:rFonts w:hint="eastAsia" w:ascii="仿宋_GB2312" w:hAnsi="CESI仿宋-GB2312" w:eastAsia="仿宋_GB2312" w:cs="Times New Roman"/>
          <w:color w:val="000000"/>
          <w:sz w:val="32"/>
          <w:szCs w:val="32"/>
        </w:rPr>
      </w:pPr>
      <w:r>
        <w:rPr>
          <w:rFonts w:hint="eastAsia" w:ascii="楷体_GB2312" w:hAnsi="CESI楷体-GB2312" w:eastAsia="楷体_GB2312" w:cs="Times New Roman"/>
          <w:b/>
          <w:color w:val="000000"/>
          <w:sz w:val="32"/>
          <w:szCs w:val="32"/>
        </w:rPr>
        <w:t>（五）在风险防控方面着力提高监管水平。</w:t>
      </w:r>
      <w:r>
        <w:rPr>
          <w:rFonts w:hint="eastAsia" w:ascii="仿宋_GB2312" w:hAnsi="仿宋_GB2312" w:eastAsia="仿宋_GB2312" w:cs="仿宋_GB2312"/>
          <w:kern w:val="2"/>
          <w:sz w:val="32"/>
          <w:szCs w:val="32"/>
          <w:lang w:val="en-US" w:eastAsia="zh-CN" w:bidi="ar-SA"/>
        </w:rPr>
        <w:t>充分运用全国农机作业指挥调度平台及省级服务平台，推进补贴机具唯一身份识别，发挥大数据信息优势，提升违规行为排查和监控能力。强化属地管理责任，完善省、市、区三级监管机制和多部门联动机制，发挥乡镇监管优势，全流程加强补贴机具研产推用各环节监督管理。</w:t>
      </w:r>
    </w:p>
    <w:p w14:paraId="5755D0DA">
      <w:pPr>
        <w:pStyle w:val="9"/>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CESI楷体-GB2312" w:eastAsia="楷体_GB2312" w:cs="Times New Roman"/>
          <w:b/>
          <w:color w:val="000000"/>
          <w:sz w:val="32"/>
          <w:szCs w:val="32"/>
        </w:rPr>
        <w:t>（六）在补贴兑付方面着力提升服务效能。</w:t>
      </w:r>
      <w:r>
        <w:rPr>
          <w:rFonts w:hint="eastAsia" w:ascii="仿宋_GB2312" w:hAnsi="仿宋_GB2312" w:eastAsia="仿宋_GB2312" w:cs="仿宋_GB2312"/>
          <w:kern w:val="2"/>
          <w:sz w:val="32"/>
          <w:szCs w:val="32"/>
          <w:lang w:val="en-US" w:eastAsia="zh-CN" w:bidi="ar-SA"/>
        </w:rPr>
        <w:t>严格资金兑付流程，增加结算批次，推进补贴全流程线上办理，提高补贴办理便利性，确保及时兑付。加强补贴资金管理，落实专款专用要求，加大对超期不兑付、兑付慢问题加大自查治理力度。</w:t>
      </w:r>
    </w:p>
    <w:p w14:paraId="6A2C6E4F">
      <w:pPr>
        <w:pStyle w:val="9"/>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firstLine="640" w:firstLineChars="200"/>
        <w:jc w:val="both"/>
        <w:textAlignment w:val="auto"/>
        <w:rPr>
          <w:rFonts w:ascii="黑体" w:hAnsi="黑体" w:eastAsia="黑体" w:cs="Times New Roman"/>
          <w:color w:val="000000"/>
          <w:sz w:val="32"/>
          <w:szCs w:val="32"/>
        </w:rPr>
      </w:pPr>
      <w:r>
        <w:rPr>
          <w:rFonts w:ascii="黑体" w:hAnsi="黑体" w:eastAsia="黑体" w:cs="Times New Roman"/>
          <w:color w:val="000000"/>
          <w:sz w:val="32"/>
          <w:szCs w:val="32"/>
        </w:rPr>
        <w:t>三、补贴范围和补贴机具</w:t>
      </w:r>
    </w:p>
    <w:p w14:paraId="68047B67">
      <w:pPr>
        <w:pStyle w:val="9"/>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firstLine="643" w:firstLineChars="200"/>
        <w:jc w:val="both"/>
        <w:textAlignment w:val="auto"/>
        <w:rPr>
          <w:rFonts w:hint="eastAsia" w:ascii="楷体_GB2312" w:hAnsi="CESI楷体-GB2312" w:eastAsia="楷体_GB2312"/>
          <w:b/>
          <w:bCs/>
          <w:sz w:val="32"/>
          <w:szCs w:val="32"/>
        </w:rPr>
      </w:pPr>
      <w:r>
        <w:rPr>
          <w:rFonts w:hint="eastAsia" w:ascii="楷体_GB2312" w:hAnsi="CESI楷体-GB2312" w:eastAsia="楷体_GB2312"/>
          <w:b/>
          <w:bCs/>
          <w:sz w:val="32"/>
          <w:szCs w:val="32"/>
        </w:rPr>
        <w:t>（一）常规机具</w:t>
      </w:r>
    </w:p>
    <w:p w14:paraId="30EAD062">
      <w:pPr>
        <w:pStyle w:val="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ascii="Times New Roman" w:hAnsi="Times New Roman" w:eastAsia="仿宋_GB2312" w:cs="Times New Roman"/>
          <w:kern w:val="2"/>
          <w:sz w:val="32"/>
          <w:szCs w:val="32"/>
        </w:rPr>
      </w:pPr>
      <w:r>
        <w:rPr>
          <w:rFonts w:hint="eastAsia" w:ascii="仿宋_GB2312" w:hAnsi="仿宋_GB2312" w:eastAsia="仿宋_GB2312" w:cs="仿宋_GB2312"/>
          <w:kern w:val="2"/>
          <w:sz w:val="32"/>
          <w:szCs w:val="32"/>
          <w:lang w:val="en-US" w:eastAsia="zh-CN" w:bidi="ar-SA"/>
        </w:rPr>
        <w:t>中央财政资金全省农机购置与应用补贴机具种类范围（以下简称“全省补贴范围”）为23个大类52个小类146个品目。全省补贴机具种类范围可根据农业生产需要和农机购置与应用补贴政策实施情况按年度进行调整。我区农机购置补贴政策覆盖全区所有乡镇（农业生产农民、农业生产经营组织、家庭农场）。</w:t>
      </w:r>
      <w:r>
        <w:rPr>
          <w:rFonts w:hint="eastAsia" w:ascii="仿宋_GB2312" w:hAnsi="仿宋_GB2312" w:eastAsia="仿宋_GB2312" w:cs="仿宋_GB2312"/>
          <w:kern w:val="2"/>
          <w:sz w:val="32"/>
          <w:szCs w:val="32"/>
          <w:lang w:val="en-US" w:eastAsia="en-US" w:bidi="ar-SA"/>
        </w:rPr>
        <w:t>优先保障粮油等主要作物大面积单产提升、</w:t>
      </w:r>
      <w:r>
        <w:rPr>
          <w:rFonts w:hint="eastAsia" w:ascii="仿宋_GB2312" w:hAnsi="仿宋_GB2312" w:eastAsia="仿宋_GB2312" w:cs="仿宋_GB2312"/>
          <w:kern w:val="2"/>
          <w:sz w:val="32"/>
          <w:szCs w:val="32"/>
          <w:lang w:val="en-US" w:eastAsia="zh-CN" w:bidi="ar-SA"/>
        </w:rPr>
        <w:t>机收减损、冷凉灌</w:t>
      </w:r>
      <w:r>
        <w:rPr>
          <w:rFonts w:hint="eastAsia" w:ascii="仿宋_GB2312" w:hAnsi="仿宋_GB2312" w:eastAsia="仿宋_GB2312" w:cs="仿宋_GB2312"/>
          <w:kern w:val="2"/>
          <w:sz w:val="32"/>
          <w:szCs w:val="32"/>
          <w:lang w:val="en-US" w:eastAsia="en-US" w:bidi="ar-SA"/>
        </w:rPr>
        <w:t>区农业生产</w:t>
      </w:r>
      <w:r>
        <w:rPr>
          <w:rFonts w:hint="eastAsia" w:ascii="仿宋_GB2312" w:hAnsi="仿宋_GB2312" w:eastAsia="仿宋_GB2312" w:cs="仿宋_GB2312"/>
          <w:kern w:val="2"/>
          <w:sz w:val="32"/>
          <w:szCs w:val="32"/>
          <w:lang w:val="en-US" w:eastAsia="zh-CN" w:bidi="ar-SA"/>
        </w:rPr>
        <w:t>急需、农机装备补短板、农业其他领域发展急需，</w:t>
      </w:r>
      <w:r>
        <w:rPr>
          <w:rFonts w:hint="eastAsia" w:ascii="仿宋_GB2312" w:hAnsi="仿宋_GB2312" w:eastAsia="仿宋_GB2312" w:cs="仿宋_GB2312"/>
          <w:kern w:val="2"/>
          <w:sz w:val="32"/>
          <w:szCs w:val="32"/>
          <w:lang w:val="en-US" w:eastAsia="en-US" w:bidi="ar-SA"/>
        </w:rPr>
        <w:t>以及事关国家重大战略实施的农业机械</w:t>
      </w:r>
      <w:r>
        <w:rPr>
          <w:rFonts w:hint="eastAsia" w:ascii="仿宋_GB2312" w:hAnsi="仿宋_GB2312" w:eastAsia="仿宋_GB2312" w:cs="仿宋_GB2312"/>
          <w:kern w:val="2"/>
          <w:sz w:val="32"/>
          <w:szCs w:val="32"/>
          <w:lang w:val="en-US" w:eastAsia="zh-CN" w:bidi="ar-SA"/>
        </w:rPr>
        <w:t>的推广应用，将更多符合条件的先进适用机具纳入补贴范围。</w:t>
      </w:r>
    </w:p>
    <w:p w14:paraId="63621164">
      <w:pPr>
        <w:pStyle w:val="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全面开展农用无人驾驶航空器购置补贴工作，补贴对象为从事农业生产的农民和农业生产经营组织；补贴操作要求与常规补贴产品保持一致，对产品及生产企业条件、补贴资质的相关要求继续实施备案管理。</w:t>
      </w:r>
    </w:p>
    <w:p w14:paraId="729EFBA4">
      <w:pPr>
        <w:pStyle w:val="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常规机具必须是全省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w:t>
      </w:r>
    </w:p>
    <w:p w14:paraId="26B904B4">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643" w:firstLineChars="200"/>
        <w:jc w:val="both"/>
        <w:textAlignment w:val="auto"/>
        <w:rPr>
          <w:rFonts w:hint="eastAsia" w:ascii="楷体_GB2312" w:hAnsi="CESI楷体-GB2312" w:eastAsia="楷体_GB2312" w:cs="Times New Roman"/>
          <w:b/>
          <w:color w:val="000000"/>
          <w:sz w:val="32"/>
          <w:szCs w:val="32"/>
          <w:lang w:eastAsia="zh-CN"/>
        </w:rPr>
      </w:pPr>
      <w:r>
        <w:rPr>
          <w:rFonts w:hint="eastAsia" w:ascii="楷体_GB2312" w:hAnsi="CESI楷体-GB2312" w:eastAsia="楷体_GB2312" w:cs="Times New Roman"/>
          <w:b/>
          <w:color w:val="000000"/>
          <w:sz w:val="32"/>
          <w:szCs w:val="32"/>
          <w:lang w:eastAsia="zh-CN"/>
        </w:rPr>
        <w:t>（二）农机创新产品</w:t>
      </w:r>
    </w:p>
    <w:p w14:paraId="633E6C4C">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ascii="Times New Roman" w:hAnsi="Times New Roman" w:eastAsia="仿宋_GB2312" w:cs="Times New Roman"/>
          <w:b/>
          <w:bCs/>
          <w:color w:val="000000"/>
          <w:sz w:val="32"/>
          <w:szCs w:val="32"/>
          <w:lang w:eastAsia="zh-CN"/>
        </w:rPr>
        <w:t>1.专项鉴定产品。</w:t>
      </w:r>
      <w:r>
        <w:rPr>
          <w:rFonts w:hint="eastAsia" w:ascii="仿宋_GB2312" w:hAnsi="仿宋_GB2312" w:eastAsia="仿宋_GB2312" w:cs="仿宋_GB2312"/>
          <w:kern w:val="2"/>
          <w:sz w:val="32"/>
          <w:szCs w:val="32"/>
          <w:lang w:val="en-US" w:eastAsia="zh-CN" w:bidi="ar-SA"/>
        </w:rPr>
        <w:t>全区根据农业生产和农机装备补短板需要，按照上一轮农机购置补贴实施指导意见中《农机专项鉴定产品购置补贴实施工作规范（试行）》有关要求，通过征集建议、专家评审、评审公示、发布实施等程序，将符合条件的产品列入补贴范围。</w:t>
      </w:r>
    </w:p>
    <w:p w14:paraId="7F1267D3">
      <w:pPr>
        <w:pStyle w:val="5"/>
        <w:keepNext w:val="0"/>
        <w:keepLines w:val="0"/>
        <w:pageBreakBefore w:val="0"/>
        <w:widowControl w:val="0"/>
        <w:kinsoku/>
        <w:wordWrap/>
        <w:overflowPunct/>
        <w:topLinePunct w:val="0"/>
        <w:autoSpaceDE/>
        <w:autoSpaceDN/>
        <w:bidi w:val="0"/>
        <w:adjustRightInd/>
        <w:spacing w:line="560" w:lineRule="exact"/>
        <w:ind w:left="0" w:leftChars="0"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ascii="Times New Roman" w:hAnsi="Times New Roman" w:eastAsia="仿宋_GB2312" w:cs="Times New Roman"/>
          <w:b/>
          <w:bCs/>
          <w:color w:val="000000"/>
          <w:sz w:val="32"/>
          <w:szCs w:val="32"/>
          <w:lang w:eastAsia="zh-CN"/>
        </w:rPr>
        <w:t>2.农机新产品。</w:t>
      </w:r>
      <w:r>
        <w:rPr>
          <w:rFonts w:hint="eastAsia" w:ascii="仿宋_GB2312" w:hAnsi="仿宋_GB2312" w:eastAsia="仿宋_GB2312" w:cs="仿宋_GB2312"/>
          <w:kern w:val="2"/>
          <w:sz w:val="32"/>
          <w:szCs w:val="32"/>
          <w:lang w:val="en-US" w:eastAsia="zh-CN" w:bidi="ar-SA"/>
        </w:rPr>
        <w:t>积极组织实施中央财政农机新产品购置补贴试点，按照上一轮农机购置补贴实施指导意见中《农机新产品购置补贴试点工作指引》关于试点产品选定的要求,将农机装备补短板范围内等符合条件的创新产品,以及暂不能开展农机试验鉴定的新型农机产品和不适宜鉴定的成套设施装备列入补贴范围。支持实施农机装备补短板行动,对短板机具目录范围内取得研发突破、亟需熟化定型的创新产品,给予3年以下的特定补贴支持,补贴额测算比例可提高至35%,成功推向市场的转为常规补贴,补贴额测算比例调至30%以下,效果不好的退出补贴范围。农机创新产品补贴品目实行总量控制,年度总数量不超过 10个，经省厅报农业农村部、财政部备案后按年度实施与调整。</w:t>
      </w:r>
    </w:p>
    <w:p w14:paraId="5F4613B2">
      <w:pPr>
        <w:pStyle w:val="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ascii="Times New Roman" w:hAnsi="Times New Roman" w:eastAsia="仿宋_GB2312" w:cs="Times New Roman"/>
          <w:color w:val="000000"/>
          <w:sz w:val="32"/>
          <w:szCs w:val="32"/>
          <w:lang w:eastAsia="zh-CN"/>
        </w:rPr>
      </w:pPr>
      <w:r>
        <w:rPr>
          <w:rFonts w:hint="eastAsia" w:ascii="仿宋_GB2312" w:hAnsi="仿宋_GB2312" w:eastAsia="仿宋_GB2312" w:cs="仿宋_GB2312"/>
          <w:kern w:val="2"/>
          <w:sz w:val="32"/>
          <w:szCs w:val="32"/>
          <w:lang w:val="en-US" w:eastAsia="zh-CN" w:bidi="ar-SA"/>
        </w:rPr>
        <w:t>鼓励地方特色农业发展所需和区域适用性强的机具,可列入区级财政安排资金的补贴范围,具体补贴机具品目和补贴标准由区农机主管部门审定,补贴额测算比例不得超过35%,不得占用中央财政补贴资金。</w:t>
      </w:r>
    </w:p>
    <w:p w14:paraId="1AA688C0">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0" w:firstLineChars="200"/>
        <w:jc w:val="both"/>
        <w:textAlignment w:val="auto"/>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eastAsia="zh-CN"/>
        </w:rPr>
        <w:t>四、</w:t>
      </w:r>
      <w:r>
        <w:rPr>
          <w:rFonts w:ascii="黑体" w:hAnsi="黑体" w:eastAsia="黑体" w:cs="Times New Roman"/>
          <w:color w:val="000000"/>
          <w:kern w:val="0"/>
          <w:sz w:val="32"/>
          <w:szCs w:val="32"/>
        </w:rPr>
        <w:t>补贴对象和补贴标准</w:t>
      </w:r>
    </w:p>
    <w:p w14:paraId="4BE3DB58">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643" w:firstLineChars="200"/>
        <w:jc w:val="both"/>
        <w:textAlignment w:val="auto"/>
        <w:rPr>
          <w:rFonts w:hint="eastAsia" w:ascii="楷体_GB2312" w:hAnsi="CESI楷体-GB2312" w:eastAsia="楷体_GB2312" w:cs="Times New Roman"/>
          <w:b/>
          <w:bCs/>
          <w:color w:val="000000"/>
          <w:kern w:val="0"/>
          <w:sz w:val="32"/>
          <w:szCs w:val="32"/>
        </w:rPr>
      </w:pPr>
      <w:r>
        <w:rPr>
          <w:rFonts w:hint="eastAsia" w:ascii="楷体_GB2312" w:hAnsi="CESI楷体-GB2312" w:eastAsia="楷体_GB2312" w:cs="Times New Roman"/>
          <w:b/>
          <w:bCs/>
          <w:color w:val="000000"/>
          <w:kern w:val="0"/>
          <w:sz w:val="32"/>
          <w:szCs w:val="32"/>
          <w:lang w:eastAsia="zh-CN"/>
        </w:rPr>
        <w:t>（一）</w:t>
      </w:r>
      <w:r>
        <w:rPr>
          <w:rFonts w:hint="eastAsia" w:ascii="楷体_GB2312" w:hAnsi="CESI楷体-GB2312" w:eastAsia="楷体_GB2312" w:cs="Times New Roman"/>
          <w:b/>
          <w:bCs/>
          <w:color w:val="000000"/>
          <w:kern w:val="0"/>
          <w:sz w:val="32"/>
          <w:szCs w:val="32"/>
        </w:rPr>
        <w:t>补贴对象</w:t>
      </w:r>
    </w:p>
    <w:p w14:paraId="194F46E1">
      <w:pPr>
        <w:keepNext w:val="0"/>
        <w:keepLines w:val="0"/>
        <w:pageBreakBefore w:val="0"/>
        <w:widowControl w:val="0"/>
        <w:kinsoku/>
        <w:wordWrap/>
        <w:overflowPunct/>
        <w:topLinePunct w:val="0"/>
        <w:autoSpaceDE/>
        <w:autoSpaceDN/>
        <w:bidi w:val="0"/>
        <w:adjustRightInd/>
        <w:spacing w:line="560" w:lineRule="exact"/>
        <w:ind w:left="0" w:leftChars="0" w:right="0" w:firstLine="320" w:firstLineChars="100"/>
        <w:jc w:val="both"/>
        <w:textAlignment w:val="auto"/>
        <w:rPr>
          <w:rFonts w:hint="eastAsia" w:ascii="仿宋_GB2312" w:hAnsi="CESI仿宋-GB2312" w:eastAsia="仿宋_GB2312" w:cs="Times New Roman"/>
          <w:color w:val="000000"/>
          <w:spacing w:val="13"/>
          <w:sz w:val="32"/>
          <w:szCs w:val="32"/>
          <w:lang w:val="en-US" w:eastAsia="zh-CN"/>
        </w:rPr>
      </w:pPr>
      <w:r>
        <w:rPr>
          <w:rFonts w:hint="eastAsia" w:ascii="仿宋_GB2312" w:hAnsi="仿宋_GB2312" w:eastAsia="仿宋_GB2312" w:cs="仿宋_GB2312"/>
          <w:kern w:val="2"/>
          <w:sz w:val="32"/>
          <w:szCs w:val="32"/>
          <w:lang w:val="en-US" w:eastAsia="zh-CN" w:bidi="ar-SA"/>
        </w:rPr>
        <w:t>补贴对象为甘州区行政区域内从事农业生产的农民和农业生产经营组织(以下简称“购机者”),其中农业生产经营组织包括农村集体经济组织、农民专业合作经济组织、农业企业和其他从事农业生产经营的组织。</w:t>
      </w:r>
      <w:r>
        <w:rPr>
          <w:rFonts w:hint="eastAsia" w:ascii="仿宋_GB2312" w:hAnsi="CESI仿宋-GB2312" w:eastAsia="仿宋_GB2312" w:cs="Times New Roman"/>
          <w:color w:val="000000"/>
          <w:spacing w:val="13"/>
          <w:sz w:val="32"/>
          <w:szCs w:val="32"/>
          <w:lang w:val="en-US" w:eastAsia="zh-CN"/>
        </w:rPr>
        <w:t xml:space="preserve"> </w:t>
      </w:r>
    </w:p>
    <w:p w14:paraId="6D80E070">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643" w:firstLineChars="200"/>
        <w:jc w:val="both"/>
        <w:textAlignment w:val="auto"/>
        <w:rPr>
          <w:rFonts w:hint="eastAsia" w:ascii="楷体_GB2312" w:hAnsi="CESI楷体-GB2312" w:eastAsia="楷体_GB2312" w:cs="Times New Roman"/>
          <w:b/>
          <w:color w:val="000000"/>
          <w:kern w:val="0"/>
          <w:sz w:val="32"/>
          <w:szCs w:val="32"/>
        </w:rPr>
      </w:pPr>
      <w:r>
        <w:rPr>
          <w:rFonts w:hint="eastAsia" w:ascii="楷体_GB2312" w:hAnsi="CESI楷体-GB2312" w:eastAsia="楷体_GB2312" w:cs="Times New Roman"/>
          <w:b/>
          <w:color w:val="000000"/>
          <w:kern w:val="0"/>
          <w:sz w:val="32"/>
          <w:szCs w:val="32"/>
          <w:lang w:eastAsia="zh-CN"/>
        </w:rPr>
        <w:t>（二）</w:t>
      </w:r>
      <w:r>
        <w:rPr>
          <w:rFonts w:hint="eastAsia" w:ascii="楷体_GB2312" w:hAnsi="CESI楷体-GB2312" w:eastAsia="楷体_GB2312" w:cs="Times New Roman"/>
          <w:b/>
          <w:color w:val="000000"/>
          <w:kern w:val="0"/>
          <w:sz w:val="32"/>
          <w:szCs w:val="32"/>
        </w:rPr>
        <w:t>补贴标准</w:t>
      </w:r>
    </w:p>
    <w:p w14:paraId="6984CB8B">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根据《甘肃省2024-2026年农机购置与应用补贴实施方案》要求，密切配合上级部门组织分档测算、补贴额测算比例、单机补贴限额等方面确定补贴标准。</w:t>
      </w:r>
    </w:p>
    <w:p w14:paraId="7F2A6009">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firstLine="643" w:firstLineChars="200"/>
        <w:jc w:val="both"/>
        <w:textAlignment w:val="auto"/>
        <w:rPr>
          <w:rFonts w:ascii="Times New Roman" w:hAnsi="Times New Roman" w:eastAsia="仿宋_GB2312"/>
          <w:b/>
          <w:bCs/>
          <w:color w:val="000000"/>
          <w:sz w:val="32"/>
        </w:rPr>
      </w:pPr>
      <w:r>
        <w:rPr>
          <w:rFonts w:hint="eastAsia" w:ascii="Times New Roman" w:hAnsi="Times New Roman"/>
          <w:b/>
          <w:bCs/>
          <w:color w:val="000000"/>
          <w:sz w:val="32"/>
          <w:lang w:val="en-US" w:eastAsia="zh-CN"/>
        </w:rPr>
        <w:t>1.</w:t>
      </w:r>
      <w:r>
        <w:rPr>
          <w:rFonts w:ascii="Times New Roman" w:hAnsi="Times New Roman" w:eastAsia="仿宋_GB2312"/>
          <w:b/>
          <w:bCs/>
          <w:color w:val="000000"/>
          <w:sz w:val="32"/>
        </w:rPr>
        <w:t>组织分档测算</w:t>
      </w:r>
    </w:p>
    <w:p w14:paraId="09433E89">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ascii="Times New Roman" w:hAnsi="Times New Roman" w:eastAsia="仿宋_GB2312"/>
          <w:color w:val="000000"/>
          <w:sz w:val="32"/>
        </w:rPr>
      </w:pPr>
      <w:r>
        <w:rPr>
          <w:rFonts w:hint="eastAsia" w:ascii="仿宋_GB2312" w:hAnsi="仿宋_GB2312" w:eastAsia="仿宋_GB2312" w:cs="仿宋_GB2312"/>
          <w:kern w:val="2"/>
          <w:sz w:val="32"/>
          <w:szCs w:val="32"/>
          <w:lang w:val="en-US" w:eastAsia="zh-CN" w:bidi="ar-SA"/>
        </w:rPr>
        <w:t>中央财政农机购置与应用补贴实行定额补贴,即同一种类、同一档次农业机械执行本省实行统一的补贴标准。</w:t>
      </w:r>
    </w:p>
    <w:p w14:paraId="0C770E09">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firstLine="643" w:firstLineChars="200"/>
        <w:jc w:val="both"/>
        <w:textAlignment w:val="auto"/>
        <w:rPr>
          <w:rFonts w:ascii="Times New Roman" w:hAnsi="Times New Roman" w:eastAsia="仿宋_GB2312"/>
          <w:b/>
          <w:bCs/>
          <w:color w:val="000000"/>
          <w:sz w:val="32"/>
        </w:rPr>
      </w:pPr>
      <w:r>
        <w:rPr>
          <w:rFonts w:hint="eastAsia" w:ascii="Times New Roman" w:hAnsi="Times New Roman"/>
          <w:b/>
          <w:bCs/>
          <w:color w:val="000000"/>
          <w:sz w:val="32"/>
          <w:lang w:val="en-US" w:eastAsia="zh-CN"/>
        </w:rPr>
        <w:t>2.</w:t>
      </w:r>
      <w:r>
        <w:rPr>
          <w:rFonts w:ascii="Times New Roman" w:hAnsi="Times New Roman" w:eastAsia="仿宋_GB2312"/>
          <w:b/>
          <w:bCs/>
          <w:color w:val="000000"/>
          <w:sz w:val="32"/>
        </w:rPr>
        <w:t>补贴额测算比例</w:t>
      </w:r>
    </w:p>
    <w:p w14:paraId="13A39F70">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firstLine="643" w:firstLineChars="200"/>
        <w:jc w:val="both"/>
        <w:textAlignment w:val="auto"/>
        <w:rPr>
          <w:rFonts w:hint="eastAsia" w:ascii="Times New Roman" w:hAnsi="Times New Roman" w:eastAsia="仿宋_GB2312"/>
          <w:color w:val="000000"/>
          <w:sz w:val="32"/>
          <w:lang w:eastAsia="zh-CN"/>
        </w:rPr>
      </w:pPr>
      <w:r>
        <w:rPr>
          <w:rFonts w:ascii="Times New Roman" w:hAnsi="Times New Roman" w:eastAsia="仿宋_GB2312"/>
          <w:b/>
          <w:bCs/>
          <w:color w:val="000000"/>
          <w:sz w:val="32"/>
        </w:rPr>
        <w:t>常规补贴机具的测算比例。</w:t>
      </w:r>
      <w:r>
        <w:rPr>
          <w:rFonts w:hint="eastAsia" w:ascii="仿宋_GB2312" w:hAnsi="仿宋_GB2312" w:eastAsia="仿宋_GB2312" w:cs="仿宋_GB2312"/>
          <w:kern w:val="2"/>
          <w:sz w:val="32"/>
          <w:szCs w:val="32"/>
          <w:lang w:val="en-US" w:eastAsia="zh-CN" w:bidi="ar-SA"/>
        </w:rPr>
        <w:t>补贴额测算比例不超过上年同档次产品市场销售均价的30%，通用类机具补贴额不超过农业农村部、财政部发布的最高补贴额，最终以省厅发布为准。</w:t>
      </w:r>
    </w:p>
    <w:p w14:paraId="542D53B6">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ascii="Times New Roman" w:hAnsi="Times New Roman" w:eastAsia="仿宋_GB2312"/>
          <w:b/>
          <w:bCs/>
          <w:color w:val="000000"/>
          <w:sz w:val="32"/>
        </w:rPr>
        <w:t>补贴额提高机具的测算比例。</w:t>
      </w:r>
      <w:r>
        <w:rPr>
          <w:rFonts w:hint="eastAsia" w:ascii="仿宋_GB2312" w:hAnsi="仿宋_GB2312" w:eastAsia="仿宋_GB2312" w:cs="仿宋_GB2312"/>
          <w:kern w:val="2"/>
          <w:sz w:val="32"/>
          <w:szCs w:val="32"/>
          <w:lang w:val="en-US" w:eastAsia="zh-CN" w:bidi="ar-SA"/>
        </w:rPr>
        <w:t>围绕粮油等主要作物大面积单产提升、机收减损、沿山冷凉灌区农业生产急需、农机装备补短板、农业其他领域发展急需，以及事关国家重大战略实施的农业机械的推广应用，依据省级调整标准执行。</w:t>
      </w:r>
    </w:p>
    <w:p w14:paraId="399C772B">
      <w:pPr>
        <w:keepNext w:val="0"/>
        <w:keepLines w:val="0"/>
        <w:pageBreakBefore w:val="0"/>
        <w:widowControl w:val="0"/>
        <w:kinsoku/>
        <w:wordWrap/>
        <w:overflowPunct/>
        <w:topLinePunct w:val="0"/>
        <w:autoSpaceDE/>
        <w:autoSpaceDN/>
        <w:bidi w:val="0"/>
        <w:adjustRightInd/>
        <w:spacing w:line="560" w:lineRule="exact"/>
        <w:ind w:left="0" w:leftChars="0"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ascii="Times New Roman" w:hAnsi="Times New Roman" w:eastAsia="仿宋_GB2312"/>
          <w:b/>
          <w:bCs/>
          <w:color w:val="000000"/>
          <w:sz w:val="32"/>
        </w:rPr>
        <w:t>补贴额降低机具的测算比例。</w:t>
      </w:r>
      <w:r>
        <w:rPr>
          <w:rFonts w:hint="eastAsia" w:ascii="仿宋_GB2312" w:hAnsi="仿宋_GB2312" w:eastAsia="仿宋_GB2312" w:cs="仿宋_GB2312"/>
          <w:kern w:val="2"/>
          <w:sz w:val="32"/>
          <w:szCs w:val="32"/>
          <w:lang w:val="en-US" w:eastAsia="zh-CN" w:bidi="ar-SA"/>
        </w:rPr>
        <w:t>逐步降低区域内保有量明显过多、技术相对落后机具品目(档次)的补贴额,补贴额测算比例不超过20% ,并将部分低价值的机具退出补贴范围。依据省级调整标准执行。</w:t>
      </w:r>
    </w:p>
    <w:p w14:paraId="3094D0ED">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firstLine="643" w:firstLineChars="200"/>
        <w:jc w:val="both"/>
        <w:textAlignment w:val="auto"/>
        <w:rPr>
          <w:rFonts w:ascii="Times New Roman" w:hAnsi="Times New Roman" w:eastAsia="仿宋_GB2312"/>
          <w:color w:val="000000"/>
          <w:sz w:val="32"/>
        </w:rPr>
      </w:pPr>
      <w:r>
        <w:rPr>
          <w:rFonts w:hint="eastAsia" w:ascii="Times New Roman" w:hAnsi="Times New Roman"/>
          <w:b/>
          <w:bCs/>
          <w:color w:val="000000"/>
          <w:sz w:val="32"/>
          <w:lang w:val="en-US" w:eastAsia="zh-CN"/>
        </w:rPr>
        <w:t>3.</w:t>
      </w:r>
      <w:r>
        <w:rPr>
          <w:rFonts w:ascii="Times New Roman" w:hAnsi="Times New Roman" w:eastAsia="仿宋_GB2312"/>
          <w:b/>
          <w:bCs/>
          <w:color w:val="000000"/>
          <w:sz w:val="32"/>
        </w:rPr>
        <w:t>单机补贴限额。</w:t>
      </w:r>
      <w:r>
        <w:rPr>
          <w:rFonts w:hint="eastAsia" w:ascii="仿宋_GB2312" w:hAnsi="仿宋_GB2312" w:eastAsia="仿宋_GB2312" w:cs="仿宋_GB2312"/>
          <w:kern w:val="2"/>
          <w:sz w:val="32"/>
          <w:szCs w:val="32"/>
          <w:lang w:val="en-US" w:eastAsia="zh-CN" w:bidi="ar-SA"/>
        </w:rPr>
        <w:t>除上述提高补贴额测算比例的机具以外,一般补贴机具单机补贴限额原则上不超过5万元;挤奶机械、烘干机单机补贴限额不超过12万元;玉米去雄机、高性能青饲料收获机、大型免耕播种机、大型气力式播种机、大型联合收获机、畜禽粪污资源化利用机具单机补贴限额不超过15万元;100马力以上拖拉机单机补贴限额不超过10万元,200马力以上动力换挡或无级变速拖拉机单机补贴限额不超过25万元;大喂入量联合收获机单机补贴限额不超过25万元;大型自走式棉花收获打包一体机单机补贴限额不超过60万元;大型成套设施装备单套补贴限额不超过60万元。</w:t>
      </w:r>
    </w:p>
    <w:p w14:paraId="48184A8E">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持补贴额总体稳定,具体产品或具体档次的中央财政资金实际补贴比例在测算比例上下一定范围内浮动符合政策规定,不对外公布具体产品的补贴额。在政策实施过程中发现具体产品或档次的中央财政资金实际补贴比例超过测算比例15个百分点以上的,农业农村部门会同财政部门应结合实际情况及时组织调查,并将调查情况及时报送农业农村部、财政部。对有违规情节的,按相关规定处理;对无违规情节的补贴申请,可按原规定兑付补贴资金,并组织对相关产品及其所属档次补贴额进行评估,视情况及时调整。发现同档次同品质的大多数产品价格总体下降幅度较大的,综合研判后,应当及时相应下调此档机具补贴额,如发现劣质产品以低价扰乱市场秩序的,要严肃查处。</w:t>
      </w:r>
    </w:p>
    <w:p w14:paraId="6BE736AA">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黑体"/>
          <w:color w:val="000000"/>
          <w:kern w:val="0"/>
          <w:sz w:val="32"/>
          <w:szCs w:val="32"/>
        </w:rPr>
      </w:pPr>
      <w:r>
        <w:rPr>
          <w:rFonts w:hint="eastAsia" w:ascii="黑体" w:hAnsi="黑体" w:eastAsia="黑体"/>
          <w:color w:val="000000"/>
          <w:kern w:val="0"/>
          <w:sz w:val="32"/>
          <w:szCs w:val="32"/>
          <w:lang w:eastAsia="zh-CN"/>
        </w:rPr>
        <w:t>五、</w:t>
      </w:r>
      <w:r>
        <w:rPr>
          <w:rFonts w:hint="eastAsia" w:ascii="黑体" w:hAnsi="黑体" w:eastAsia="黑体"/>
          <w:color w:val="000000"/>
          <w:kern w:val="0"/>
          <w:sz w:val="32"/>
          <w:szCs w:val="32"/>
        </w:rPr>
        <w:t>资金分配与使用</w:t>
      </w:r>
      <w:r>
        <w:rPr>
          <w:rFonts w:hint="eastAsia" w:ascii="Times New Roman" w:hAnsi="Times New Roman" w:eastAsia="黑体"/>
          <w:color w:val="000000"/>
          <w:kern w:val="0"/>
          <w:sz w:val="32"/>
          <w:szCs w:val="32"/>
        </w:rPr>
        <w:t> </w:t>
      </w:r>
    </w:p>
    <w:p w14:paraId="0B1E508D">
      <w:pPr>
        <w:pStyle w:val="9"/>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kern w:val="2"/>
          <w:sz w:val="32"/>
          <w:szCs w:val="32"/>
          <w:lang w:val="en-US" w:eastAsia="zh-CN" w:bidi="ar-SA"/>
        </w:rPr>
        <w:t>（一）农机购置与应用补贴支出主要用于支持购置先进适用农业机械,以及开展有关试点和农机报废更新等方面。甘州区农业农村部门会同财政部门加强资金使用情况监测,定期调度和协商资金使用进度,优先使用上年结转资金,督促预算执行进度并加快使用。区农机推广站、区农机监管股要发挥好技术支撑和行业指导作用，合理分工，互相配合，共同为政策实施提供有力保障。农机推广站负责做好全区农机购置补贴终端服务系统的运行、补贴机具投档等技术支撑和服务工作。农机监管股做好农机报废更新补贴、农机培训组织管理，新购农机具入户、核验、上牌工作的技术支撑和服务指导。对于发生严重违法违规行为并造成不良影响的销售企业，暂停年度补贴资金预算。</w:t>
      </w:r>
    </w:p>
    <w:p w14:paraId="1CEE7CAE">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农机创新产品年度使用资金量按照不超过本县区年度中央财政资金总规模的15%安排，由农业农村部、财政部确认的保障粮食和重要农产品稳定安全供给重大战略需要、农业生产急需的农机创新产品不占用年度使用资金规模指标；对具备作业信息化监测条件的大型、智能、复式、高端、绿色农机以及重点推广的机具探索实施农机购置与应用补贴，按照比例分批次定额兑付。</w:t>
      </w:r>
    </w:p>
    <w:p w14:paraId="4EDFF8AC">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继续开展农机报废更新补贴，加快淘汰耗能高、污染重、安全性能低的农业机械。农机报废更新补贴按《甘肃省设备更新和消费品以旧换新工作推进领导小组专责组关于印发甘肃省老旧农业机械报废更新专项行动方案的通知》（甘设专责农机发〔2024〕16号）文件及《甘州区老旧农业机械报废更新专项行动方案》文件要求执行。</w:t>
      </w:r>
    </w:p>
    <w:p w14:paraId="7CF485E8">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ascii="Times New Roman" w:hAnsi="Times New Roman" w:eastAsia="仿宋_GB2312"/>
          <w:color w:val="000000"/>
          <w:sz w:val="32"/>
        </w:rPr>
      </w:pPr>
      <w:r>
        <w:rPr>
          <w:rFonts w:hint="eastAsia" w:ascii="仿宋_GB2312" w:hAnsi="仿宋_GB2312" w:eastAsia="仿宋_GB2312" w:cs="仿宋_GB2312"/>
          <w:kern w:val="2"/>
          <w:sz w:val="32"/>
          <w:szCs w:val="32"/>
          <w:lang w:val="en-US" w:eastAsia="zh-CN" w:bidi="ar-SA"/>
        </w:rPr>
        <w:t>（四）组织开展农机研发制造推广应用一体化试点。按照生产急需、前沿引领、自主安全、集中突破的要求，动员和遴选省内外优势企业及科研力量开展农机研发制造推广应用一体化试点。依照备案试点方案，做好组织实施工作，通过以用促研、以研促造，缩短机具从研发制造、熟化定型到推广应用周期，打通农机装备研产推用各环节堵点，探索一体化推进机制模式，加快发展农机新质生产力。</w:t>
      </w:r>
    </w:p>
    <w:p w14:paraId="3F734C1A">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机购置与应用补贴资金必须足额保障，不得挤占、截留、挪用或用于其它支出。中央、省级财政安排资金要优先用于以往年度已录入但尚未兑付及当年已购机的补贴申请,并通过办理服务系统予以体现，相关工作开展情况纳入对地方党委和政府落实耕地保护和粮食安全责任制考核。区级财政部门要保障补贴工作实施必要的组织管理经费,包括政策实施绩效考核、机具核验、信息化建设、第三方抽查核验等工作经费。</w:t>
      </w:r>
    </w:p>
    <w:p w14:paraId="6518F943">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ascii="黑体" w:hAnsi="黑体" w:eastAsia="黑体"/>
          <w:color w:val="000000"/>
          <w:kern w:val="0"/>
          <w:sz w:val="32"/>
          <w:szCs w:val="32"/>
        </w:rPr>
      </w:pPr>
      <w:r>
        <w:rPr>
          <w:rFonts w:ascii="黑体" w:hAnsi="黑体" w:eastAsia="黑体"/>
          <w:color w:val="000000"/>
          <w:kern w:val="0"/>
          <w:sz w:val="32"/>
          <w:szCs w:val="32"/>
        </w:rPr>
        <w:t>六、操作实施流程</w:t>
      </w:r>
    </w:p>
    <w:p w14:paraId="4D6F881D">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ascii="Times New Roman" w:hAnsi="Times New Roman" w:eastAsia="仿宋_GB2312"/>
          <w:color w:val="000000"/>
          <w:sz w:val="32"/>
        </w:rPr>
      </w:pPr>
      <w:r>
        <w:rPr>
          <w:rFonts w:hint="eastAsia" w:ascii="仿宋_GB2312" w:hAnsi="仿宋_GB2312" w:eastAsia="仿宋_GB2312" w:cs="仿宋_GB2312"/>
          <w:kern w:val="2"/>
          <w:sz w:val="32"/>
          <w:szCs w:val="32"/>
          <w:lang w:val="en-US" w:eastAsia="zh-CN" w:bidi="ar-SA"/>
        </w:rPr>
        <w:t>农机购置与应用补贴政策实行“自主购机、定额补贴、先购后补,县级结算、直补到卡(户)”。购机行为完成后,购机者自主向甘州区农业农村局提出补贴资金申领事项,签署告知承诺书,承诺购买行为、发票购机价格等信息真实有效,按相关规定申办补贴。</w:t>
      </w:r>
    </w:p>
    <w:p w14:paraId="0E07787A">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ascii="Times New Roman" w:hAnsi="Times New Roman" w:eastAsia="仿宋_GB2312"/>
          <w:color w:val="000000"/>
          <w:spacing w:val="13"/>
          <w:sz w:val="32"/>
          <w:szCs w:val="32"/>
          <w:lang w:eastAsia="en-US"/>
        </w:rPr>
      </w:pPr>
      <w:r>
        <w:rPr>
          <w:rFonts w:hint="eastAsia" w:ascii="楷体_GB2312" w:hAnsi="Times New Roman" w:eastAsia="楷体_GB2312"/>
          <w:b/>
          <w:color w:val="000000"/>
          <w:spacing w:val="6"/>
          <w:sz w:val="32"/>
          <w:szCs w:val="32"/>
        </w:rPr>
        <w:t>（一）发布实施规定。</w:t>
      </w:r>
      <w:r>
        <w:rPr>
          <w:rFonts w:hint="eastAsia" w:ascii="仿宋_GB2312" w:hAnsi="仿宋_GB2312" w:eastAsia="仿宋_GB2312" w:cs="仿宋_GB2312"/>
          <w:kern w:val="2"/>
          <w:sz w:val="32"/>
          <w:szCs w:val="32"/>
          <w:lang w:val="en-US" w:eastAsia="zh-CN" w:bidi="ar-SA"/>
        </w:rPr>
        <w:t>甘州区</w:t>
      </w:r>
      <w:r>
        <w:rPr>
          <w:rFonts w:hint="eastAsia" w:ascii="仿宋_GB2312" w:hAnsi="仿宋_GB2312" w:eastAsia="仿宋_GB2312" w:cs="仿宋_GB2312"/>
          <w:kern w:val="2"/>
          <w:sz w:val="32"/>
          <w:szCs w:val="32"/>
          <w:lang w:val="en-US" w:eastAsia="en-US" w:bidi="ar-SA"/>
        </w:rPr>
        <w:t>农业农村和财政部门根据</w:t>
      </w:r>
      <w:r>
        <w:rPr>
          <w:rFonts w:hint="eastAsia" w:ascii="仿宋_GB2312" w:hAnsi="仿宋_GB2312" w:eastAsia="仿宋_GB2312" w:cs="仿宋_GB2312"/>
          <w:kern w:val="2"/>
          <w:sz w:val="32"/>
          <w:szCs w:val="32"/>
          <w:lang w:val="en-US" w:eastAsia="zh-CN" w:bidi="ar-SA"/>
        </w:rPr>
        <w:t>省级</w:t>
      </w:r>
      <w:r>
        <w:rPr>
          <w:rFonts w:hint="eastAsia" w:ascii="仿宋_GB2312" w:hAnsi="仿宋_GB2312" w:eastAsia="仿宋_GB2312" w:cs="仿宋_GB2312"/>
          <w:kern w:val="2"/>
          <w:sz w:val="32"/>
          <w:szCs w:val="32"/>
          <w:lang w:val="en-US" w:eastAsia="en-US" w:bidi="ar-SA"/>
        </w:rPr>
        <w:t>方案要求，编制2024—2026年农机购置与应用补贴实施方案，向社会公布实施，并按照职责分工和有关规定，全面公开操作程序、补贴额一览表、补贴机具信息表、咨询投诉举报电话等信息。</w:t>
      </w:r>
      <w:r>
        <w:rPr>
          <w:rFonts w:ascii="Times New Roman" w:hAnsi="Times New Roman" w:eastAsia="仿宋_GB2312"/>
          <w:color w:val="000000"/>
          <w:spacing w:val="13"/>
          <w:sz w:val="32"/>
          <w:szCs w:val="32"/>
          <w:lang w:eastAsia="en-US"/>
        </w:rPr>
        <w:t xml:space="preserve">  </w:t>
      </w:r>
    </w:p>
    <w:p w14:paraId="7004A46D">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ascii="Times New Roman" w:hAnsi="Times New Roman" w:eastAsia="仿宋_GB2312"/>
          <w:color w:val="000000"/>
          <w:spacing w:val="13"/>
          <w:sz w:val="32"/>
          <w:szCs w:val="32"/>
          <w:lang w:eastAsia="en-US"/>
        </w:rPr>
      </w:pPr>
      <w:r>
        <w:rPr>
          <w:rFonts w:hint="eastAsia" w:ascii="楷体_GB2312" w:hAnsi="Times New Roman" w:eastAsia="楷体_GB2312"/>
          <w:b/>
          <w:color w:val="000000"/>
          <w:spacing w:val="6"/>
          <w:sz w:val="32"/>
          <w:szCs w:val="32"/>
        </w:rPr>
        <w:t>（二）组织机具投档。</w:t>
      </w:r>
      <w:r>
        <w:rPr>
          <w:rFonts w:hint="eastAsia" w:ascii="仿宋_GB2312" w:hAnsi="仿宋_GB2312" w:eastAsia="仿宋_GB2312" w:cs="仿宋_GB2312"/>
          <w:kern w:val="2"/>
          <w:sz w:val="32"/>
          <w:szCs w:val="32"/>
          <w:lang w:val="en-US" w:eastAsia="en-US" w:bidi="ar-SA"/>
        </w:rPr>
        <w:t>省农业农村厅按照《农业农村部办公厅关于进一步做好农机购置补贴机具投档与核验等工作的通知》（农办机〔2019〕7号）中《农机购置补贴机具投档工作规范(试行)》等要求,通过农机购置与应用补贴产品自主投档平台,常年受理企业投档,分批组织开展审核,公示公布投档结果,并导入办理服务系统。严格投档资料审核，组织相关专家严格审查投档信息，对提高补贴额测算比例产品、新推广产品、首次申请列入补贴范围产品、价格明显背离同类同档产品、结构过于简单产品、非常规产品等机具（以下简称“高风险机具”）和成套设施装备，采取交叉互审等方式严格审核。</w:t>
      </w:r>
      <w:r>
        <w:rPr>
          <w:rFonts w:hint="eastAsia" w:ascii="仿宋_GB2312" w:hAnsi="仿宋_GB2312" w:eastAsia="仿宋_GB2312" w:cs="仿宋_GB2312"/>
          <w:kern w:val="2"/>
          <w:sz w:val="32"/>
          <w:szCs w:val="32"/>
          <w:lang w:val="en-US" w:eastAsia="zh-CN" w:bidi="ar-SA"/>
        </w:rPr>
        <w:t>甘州区</w:t>
      </w:r>
      <w:r>
        <w:rPr>
          <w:rFonts w:hint="eastAsia" w:ascii="仿宋_GB2312" w:hAnsi="仿宋_GB2312" w:eastAsia="仿宋_GB2312" w:cs="仿宋_GB2312"/>
          <w:kern w:val="2"/>
          <w:sz w:val="32"/>
          <w:szCs w:val="32"/>
          <w:lang w:val="en-US" w:eastAsia="en-US" w:bidi="ar-SA"/>
        </w:rPr>
        <w:t>农机生产企业按照“自愿参加、自主投档、承诺践诺”原则，参与我省农机购置与应用补贴，并按规定投送或提交有关资料。从严查处不实投档行为，对超范围投送产品、低档高投等造成品目和档次错误的，按规定严肃查处；对多次或重复发生提供不实投档资料违规行为的农机企业，应按有关规定从重或加重处理。</w:t>
      </w:r>
    </w:p>
    <w:p w14:paraId="224BA25E">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ascii="Times New Roman" w:hAnsi="Times New Roman" w:eastAsia="仿宋_GB2312"/>
          <w:color w:val="000000"/>
          <w:spacing w:val="6"/>
          <w:sz w:val="32"/>
          <w:szCs w:val="32"/>
        </w:rPr>
      </w:pPr>
      <w:r>
        <w:rPr>
          <w:rFonts w:hint="eastAsia" w:ascii="楷体_GB2312" w:hAnsi="Times New Roman" w:eastAsia="楷体_GB2312"/>
          <w:b/>
          <w:color w:val="000000"/>
          <w:spacing w:val="6"/>
          <w:sz w:val="32"/>
          <w:szCs w:val="32"/>
        </w:rPr>
        <w:t>（三）现场演示评价。</w:t>
      </w:r>
      <w:r>
        <w:rPr>
          <w:rFonts w:hint="eastAsia" w:ascii="仿宋_GB2312" w:hAnsi="仿宋_GB2312" w:eastAsia="仿宋_GB2312" w:cs="仿宋_GB2312"/>
          <w:kern w:val="2"/>
          <w:sz w:val="32"/>
          <w:szCs w:val="32"/>
          <w:lang w:val="en-US" w:eastAsia="zh-CN" w:bidi="ar-SA"/>
        </w:rPr>
        <w:t>对全区</w:t>
      </w:r>
      <w:r>
        <w:rPr>
          <w:rFonts w:hint="eastAsia" w:ascii="仿宋_GB2312" w:hAnsi="仿宋_GB2312" w:eastAsia="仿宋_GB2312" w:cs="仿宋_GB2312"/>
          <w:kern w:val="2"/>
          <w:sz w:val="32"/>
          <w:szCs w:val="32"/>
          <w:lang w:val="en-US" w:eastAsia="en-US" w:bidi="ar-SA"/>
        </w:rPr>
        <w:t>高风险</w:t>
      </w:r>
      <w:r>
        <w:rPr>
          <w:rFonts w:hint="eastAsia" w:ascii="仿宋_GB2312" w:hAnsi="仿宋_GB2312" w:eastAsia="仿宋_GB2312" w:cs="仿宋_GB2312"/>
          <w:kern w:val="2"/>
          <w:sz w:val="32"/>
          <w:szCs w:val="32"/>
          <w:lang w:val="en-US" w:eastAsia="zh-CN" w:bidi="ar-SA"/>
        </w:rPr>
        <w:t>机具，省级农机主管部门组织</w:t>
      </w:r>
      <w:r>
        <w:rPr>
          <w:rFonts w:hint="eastAsia" w:ascii="仿宋_GB2312" w:hAnsi="仿宋_GB2312" w:eastAsia="仿宋_GB2312" w:cs="仿宋_GB2312"/>
          <w:kern w:val="2"/>
          <w:sz w:val="32"/>
          <w:szCs w:val="32"/>
          <w:lang w:val="en-US" w:eastAsia="en-US" w:bidi="ar-SA"/>
        </w:rPr>
        <w:t>重点对实施过程发现的高风险机具规范组织开展现场演示评价或验证。现场演示评价或验证发现有问题的,要对该产品及时采取封闭措施,并开展调查。调查结束后,根据有关规定进行处理;涉及鉴定(认证)及检验检测工作的,可视情暂停采信相关机构的证书(报告),要将调查情况及时报</w:t>
      </w:r>
      <w:r>
        <w:rPr>
          <w:rFonts w:hint="eastAsia" w:ascii="仿宋_GB2312" w:hAnsi="仿宋_GB2312" w:eastAsia="仿宋_GB2312" w:cs="仿宋_GB2312"/>
          <w:kern w:val="2"/>
          <w:sz w:val="32"/>
          <w:szCs w:val="32"/>
          <w:lang w:val="en-US" w:eastAsia="zh-CN" w:bidi="ar-SA"/>
        </w:rPr>
        <w:t>省</w:t>
      </w:r>
      <w:r>
        <w:rPr>
          <w:rFonts w:hint="eastAsia" w:ascii="仿宋_GB2312" w:hAnsi="仿宋_GB2312" w:eastAsia="仿宋_GB2312" w:cs="仿宋_GB2312"/>
          <w:kern w:val="2"/>
          <w:sz w:val="32"/>
          <w:szCs w:val="32"/>
          <w:lang w:val="en-US" w:eastAsia="en-US" w:bidi="ar-SA"/>
        </w:rPr>
        <w:t>农业农村</w:t>
      </w:r>
      <w:r>
        <w:rPr>
          <w:rFonts w:hint="eastAsia" w:ascii="仿宋_GB2312" w:hAnsi="仿宋_GB2312" w:eastAsia="仿宋_GB2312" w:cs="仿宋_GB2312"/>
          <w:kern w:val="2"/>
          <w:sz w:val="32"/>
          <w:szCs w:val="32"/>
          <w:lang w:val="en-US" w:eastAsia="zh-CN" w:bidi="ar-SA"/>
        </w:rPr>
        <w:t>厅</w:t>
      </w:r>
      <w:r>
        <w:rPr>
          <w:rFonts w:hint="eastAsia" w:ascii="仿宋_GB2312" w:hAnsi="仿宋_GB2312" w:eastAsia="仿宋_GB2312" w:cs="仿宋_GB2312"/>
          <w:kern w:val="2"/>
          <w:sz w:val="32"/>
          <w:szCs w:val="32"/>
          <w:lang w:val="en-US" w:eastAsia="en-US" w:bidi="ar-SA"/>
        </w:rPr>
        <w:t>、财政</w:t>
      </w:r>
      <w:r>
        <w:rPr>
          <w:rFonts w:hint="eastAsia" w:ascii="仿宋_GB2312" w:hAnsi="仿宋_GB2312" w:eastAsia="仿宋_GB2312" w:cs="仿宋_GB2312"/>
          <w:kern w:val="2"/>
          <w:sz w:val="32"/>
          <w:szCs w:val="32"/>
          <w:lang w:val="en-US" w:eastAsia="zh-CN" w:bidi="ar-SA"/>
        </w:rPr>
        <w:t>厅</w:t>
      </w:r>
      <w:r>
        <w:rPr>
          <w:rFonts w:hint="eastAsia" w:ascii="仿宋_GB2312" w:hAnsi="仿宋_GB2312" w:eastAsia="仿宋_GB2312" w:cs="仿宋_GB2312"/>
          <w:kern w:val="2"/>
          <w:sz w:val="32"/>
          <w:szCs w:val="32"/>
          <w:lang w:val="en-US" w:eastAsia="en-US" w:bidi="ar-SA"/>
        </w:rPr>
        <w:t>,由农业农村</w:t>
      </w:r>
      <w:r>
        <w:rPr>
          <w:rFonts w:hint="eastAsia" w:ascii="仿宋_GB2312" w:hAnsi="仿宋_GB2312" w:eastAsia="仿宋_GB2312" w:cs="仿宋_GB2312"/>
          <w:kern w:val="2"/>
          <w:sz w:val="32"/>
          <w:szCs w:val="32"/>
          <w:lang w:val="en-US" w:eastAsia="zh-CN" w:bidi="ar-SA"/>
        </w:rPr>
        <w:t>厅</w:t>
      </w:r>
      <w:r>
        <w:rPr>
          <w:rFonts w:hint="eastAsia" w:ascii="仿宋_GB2312" w:hAnsi="仿宋_GB2312" w:eastAsia="仿宋_GB2312" w:cs="仿宋_GB2312"/>
          <w:kern w:val="2"/>
          <w:sz w:val="32"/>
          <w:szCs w:val="32"/>
          <w:lang w:val="en-US" w:eastAsia="en-US" w:bidi="ar-SA"/>
        </w:rPr>
        <w:t>、财政</w:t>
      </w:r>
      <w:r>
        <w:rPr>
          <w:rFonts w:hint="eastAsia" w:ascii="仿宋_GB2312" w:hAnsi="仿宋_GB2312" w:eastAsia="仿宋_GB2312" w:cs="仿宋_GB2312"/>
          <w:kern w:val="2"/>
          <w:sz w:val="32"/>
          <w:szCs w:val="32"/>
          <w:lang w:val="en-US" w:eastAsia="zh-CN" w:bidi="ar-SA"/>
        </w:rPr>
        <w:t>厅</w:t>
      </w:r>
      <w:r>
        <w:rPr>
          <w:rFonts w:hint="eastAsia" w:ascii="仿宋_GB2312" w:hAnsi="仿宋_GB2312" w:eastAsia="仿宋_GB2312" w:cs="仿宋_GB2312"/>
          <w:kern w:val="2"/>
          <w:sz w:val="32"/>
          <w:szCs w:val="32"/>
          <w:lang w:val="en-US" w:eastAsia="en-US" w:bidi="ar-SA"/>
        </w:rPr>
        <w:t>决定是否恢复采信,对于在鉴定(认证)及检验检测工作中多次发生问题的,将相关机构纳入“黑名单”,并不予采信其出具的鉴定(认证)证书(报告) 。</w:t>
      </w:r>
    </w:p>
    <w:p w14:paraId="54537900">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ascii="Times New Roman" w:hAnsi="Times New Roman" w:eastAsia="仿宋_GB2312"/>
          <w:color w:val="000000"/>
          <w:spacing w:val="4"/>
          <w:sz w:val="32"/>
          <w:szCs w:val="32"/>
          <w:lang w:eastAsia="en-US"/>
        </w:rPr>
      </w:pPr>
      <w:r>
        <w:rPr>
          <w:rFonts w:hint="eastAsia" w:ascii="楷体_GB2312" w:hAnsi="Times New Roman" w:eastAsia="楷体_GB2312"/>
          <w:b/>
          <w:color w:val="000000"/>
          <w:spacing w:val="6"/>
          <w:sz w:val="32"/>
          <w:szCs w:val="32"/>
          <w:lang w:eastAsia="en-US"/>
        </w:rPr>
        <w:t>（四）自主购机。</w:t>
      </w:r>
      <w:r>
        <w:rPr>
          <w:rFonts w:hint="eastAsia" w:ascii="仿宋_GB2312" w:hAnsi="仿宋_GB2312" w:eastAsia="仿宋_GB2312" w:cs="仿宋_GB2312"/>
          <w:kern w:val="2"/>
          <w:sz w:val="32"/>
          <w:szCs w:val="32"/>
          <w:lang w:val="en-US" w:eastAsia="en-US" w:bidi="ar-SA"/>
        </w:rPr>
        <w:t>购机者自主选择购买机具，按市场化原则自行与农机产销企业协商确定购机价格与支付方式，原则上购机价格在5000元以上的鼓励非现金方式支付购机款，并对交易行为真实性、有效性和可能发生的纠纷承担法律责任。</w:t>
      </w:r>
    </w:p>
    <w:p w14:paraId="560A3D15">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ascii="Times New Roman" w:hAnsi="Times New Roman" w:eastAsia="仿宋_GB2312"/>
          <w:color w:val="000000"/>
          <w:spacing w:val="4"/>
          <w:sz w:val="32"/>
          <w:szCs w:val="32"/>
          <w:lang w:eastAsia="en-US"/>
        </w:rPr>
      </w:pPr>
      <w:r>
        <w:rPr>
          <w:rFonts w:hint="eastAsia" w:ascii="楷体_GB2312" w:hAnsi="Times New Roman" w:eastAsia="楷体_GB2312"/>
          <w:b/>
          <w:color w:val="000000"/>
          <w:spacing w:val="6"/>
          <w:sz w:val="32"/>
          <w:szCs w:val="32"/>
        </w:rPr>
        <w:t>（五）受理补贴申请。</w:t>
      </w:r>
      <w:r>
        <w:rPr>
          <w:rFonts w:hint="eastAsia" w:ascii="仿宋_GB2312" w:hAnsi="仿宋_GB2312" w:eastAsia="仿宋_GB2312" w:cs="仿宋_GB2312"/>
          <w:kern w:val="2"/>
          <w:sz w:val="32"/>
          <w:szCs w:val="32"/>
          <w:lang w:val="en-US" w:eastAsia="zh-CN" w:bidi="ar-SA"/>
        </w:rPr>
        <w:t>甘州区</w:t>
      </w:r>
      <w:r>
        <w:rPr>
          <w:rFonts w:hint="eastAsia" w:ascii="仿宋_GB2312" w:hAnsi="仿宋_GB2312" w:eastAsia="仿宋_GB2312" w:cs="仿宋_GB2312"/>
          <w:kern w:val="2"/>
          <w:sz w:val="32"/>
          <w:szCs w:val="32"/>
          <w:lang w:val="en-US" w:eastAsia="en-US" w:bidi="ar-SA"/>
        </w:rPr>
        <w:t>农业农村</w:t>
      </w:r>
      <w:r>
        <w:rPr>
          <w:rFonts w:hint="eastAsia" w:ascii="仿宋_GB2312" w:hAnsi="仿宋_GB2312" w:eastAsia="仿宋_GB2312" w:cs="仿宋_GB2312"/>
          <w:kern w:val="2"/>
          <w:sz w:val="32"/>
          <w:szCs w:val="32"/>
          <w:lang w:val="en-US" w:eastAsia="zh-CN" w:bidi="ar-SA"/>
        </w:rPr>
        <w:t>局农机实施单位</w:t>
      </w:r>
      <w:r>
        <w:rPr>
          <w:rFonts w:hint="eastAsia" w:ascii="仿宋_GB2312" w:hAnsi="仿宋_GB2312" w:eastAsia="仿宋_GB2312" w:cs="仿宋_GB2312"/>
          <w:kern w:val="2"/>
          <w:sz w:val="32"/>
          <w:szCs w:val="32"/>
          <w:lang w:val="en-US" w:eastAsia="en-US" w:bidi="ar-SA"/>
        </w:rPr>
        <w:t>应于2个工作日内做出是否受理的决定，对因资料不齐全等原因无法受理的，应注明原因，按原渠道退回申请，并告知购机者，做好咨询答疑。</w:t>
      </w:r>
      <w:r>
        <w:rPr>
          <w:rFonts w:hint="eastAsia" w:ascii="仿宋_GB2312" w:hAnsi="仿宋_GB2312" w:eastAsia="仿宋_GB2312" w:cs="仿宋_GB2312"/>
          <w:kern w:val="2"/>
          <w:sz w:val="32"/>
          <w:szCs w:val="32"/>
          <w:lang w:val="en-US" w:eastAsia="zh-CN" w:bidi="ar-SA"/>
        </w:rPr>
        <w:t>甘州区农户购买动力机械3台、配套农具6套及以上，购买农机具价值在50万元以上的，提供购买机具非现金往来凭证及实际情况说明。我区</w:t>
      </w:r>
      <w:r>
        <w:rPr>
          <w:rFonts w:hint="eastAsia" w:ascii="仿宋_GB2312" w:hAnsi="仿宋_GB2312" w:eastAsia="仿宋_GB2312" w:cs="仿宋_GB2312"/>
          <w:kern w:val="2"/>
          <w:sz w:val="32"/>
          <w:szCs w:val="32"/>
          <w:lang w:val="en-US" w:eastAsia="en-US" w:bidi="ar-SA"/>
        </w:rPr>
        <w:t>全面实行办理服务系统常年连续开放，推广使用手机APP等信息化技术，方便购机者随时录入补贴申请信息。信息录入后，及时向农业农村部门</w:t>
      </w:r>
      <w:r>
        <w:rPr>
          <w:rFonts w:hint="eastAsia" w:ascii="仿宋_GB2312" w:hAnsi="仿宋_GB2312" w:eastAsia="仿宋_GB2312" w:cs="仿宋_GB2312"/>
          <w:kern w:val="2"/>
          <w:sz w:val="32"/>
          <w:szCs w:val="32"/>
          <w:lang w:val="en-US" w:eastAsia="zh-CN" w:bidi="ar-SA"/>
        </w:rPr>
        <w:t>服务平台</w:t>
      </w:r>
      <w:r>
        <w:rPr>
          <w:rFonts w:hint="eastAsia" w:ascii="仿宋_GB2312" w:hAnsi="仿宋_GB2312" w:eastAsia="仿宋_GB2312" w:cs="仿宋_GB2312"/>
          <w:kern w:val="2"/>
          <w:sz w:val="32"/>
          <w:szCs w:val="32"/>
          <w:lang w:val="en-US" w:eastAsia="en-US" w:bidi="ar-SA"/>
        </w:rPr>
        <w:t>提交补贴申请资料。</w:t>
      </w:r>
      <w:r>
        <w:rPr>
          <w:rFonts w:hint="eastAsia" w:ascii="仿宋_GB2312" w:hAnsi="仿宋_GB2312" w:eastAsia="仿宋_GB2312" w:cs="仿宋_GB2312"/>
          <w:kern w:val="2"/>
          <w:sz w:val="32"/>
          <w:szCs w:val="32"/>
          <w:lang w:val="en-US" w:eastAsia="zh-CN" w:bidi="ar-SA"/>
        </w:rPr>
        <w:t>区</w:t>
      </w:r>
      <w:r>
        <w:rPr>
          <w:rFonts w:hint="eastAsia" w:ascii="仿宋_GB2312" w:hAnsi="仿宋_GB2312" w:eastAsia="仿宋_GB2312" w:cs="仿宋_GB2312"/>
          <w:kern w:val="2"/>
          <w:sz w:val="32"/>
          <w:szCs w:val="32"/>
          <w:lang w:val="en-US" w:eastAsia="en-US" w:bidi="ar-SA"/>
        </w:rPr>
        <w:t>级补贴资金申请数量达到或超过当年可用资金时，购机者提交的补贴申请可继续录入进行预登记，应及时告知购机者有关情况</w:t>
      </w:r>
      <w:r>
        <w:rPr>
          <w:rFonts w:ascii="Times New Roman" w:hAnsi="Times New Roman" w:eastAsia="仿宋_GB2312"/>
          <w:color w:val="000000"/>
          <w:spacing w:val="4"/>
          <w:sz w:val="32"/>
          <w:szCs w:val="32"/>
          <w:lang w:eastAsia="en-US"/>
        </w:rPr>
        <w:t>。</w:t>
      </w:r>
    </w:p>
    <w:p w14:paraId="5F2A3376">
      <w:pPr>
        <w:keepNext w:val="0"/>
        <w:keepLines w:val="0"/>
        <w:pageBreakBefore w:val="0"/>
        <w:widowControl w:val="0"/>
        <w:kinsoku/>
        <w:wordWrap/>
        <w:overflowPunct/>
        <w:topLinePunct w:val="0"/>
        <w:autoSpaceDE/>
        <w:autoSpaceDN/>
        <w:bidi w:val="0"/>
        <w:adjustRightInd/>
        <w:spacing w:line="560" w:lineRule="exact"/>
        <w:ind w:left="0" w:leftChars="0" w:right="0" w:firstLine="659" w:firstLineChars="200"/>
        <w:jc w:val="both"/>
        <w:textAlignment w:val="auto"/>
        <w:rPr>
          <w:rFonts w:ascii="Times New Roman" w:hAnsi="Times New Roman" w:eastAsia="仿宋_GB2312"/>
          <w:color w:val="000000"/>
          <w:spacing w:val="4"/>
          <w:sz w:val="32"/>
          <w:szCs w:val="32"/>
        </w:rPr>
      </w:pPr>
      <w:r>
        <w:rPr>
          <w:rFonts w:hint="eastAsia" w:ascii="楷体_GB2312" w:hAnsi="Times New Roman" w:eastAsia="楷体_GB2312"/>
          <w:b/>
          <w:color w:val="000000"/>
          <w:spacing w:val="4"/>
          <w:sz w:val="32"/>
          <w:szCs w:val="32"/>
        </w:rPr>
        <w:t>(六)机具核验。</w:t>
      </w:r>
      <w:r>
        <w:rPr>
          <w:rFonts w:hint="eastAsia" w:ascii="仿宋_GB2312" w:hAnsi="仿宋_GB2312" w:eastAsia="仿宋_GB2312" w:cs="仿宋_GB2312"/>
          <w:kern w:val="2"/>
          <w:sz w:val="32"/>
          <w:szCs w:val="32"/>
          <w:lang w:val="en-US" w:eastAsia="zh-CN" w:bidi="ar-SA"/>
        </w:rPr>
        <w:t>乡镇</w:t>
      </w:r>
      <w:r>
        <w:rPr>
          <w:rFonts w:hint="eastAsia" w:ascii="仿宋_GB2312" w:hAnsi="仿宋_GB2312" w:eastAsia="仿宋_GB2312" w:cs="仿宋_GB2312"/>
          <w:kern w:val="2"/>
          <w:sz w:val="32"/>
          <w:szCs w:val="32"/>
          <w:lang w:val="en-US" w:eastAsia="en-US" w:bidi="ar-SA"/>
        </w:rPr>
        <w:t>农业</w:t>
      </w:r>
      <w:r>
        <w:rPr>
          <w:rFonts w:hint="eastAsia" w:ascii="仿宋_GB2312" w:hAnsi="仿宋_GB2312" w:eastAsia="仿宋_GB2312" w:cs="仿宋_GB2312"/>
          <w:kern w:val="2"/>
          <w:sz w:val="32"/>
          <w:szCs w:val="32"/>
          <w:lang w:val="en-US" w:eastAsia="zh-CN" w:bidi="ar-SA"/>
        </w:rPr>
        <w:t>综合服务中心和财政所</w:t>
      </w:r>
      <w:r>
        <w:rPr>
          <w:rFonts w:hint="eastAsia" w:ascii="仿宋_GB2312" w:hAnsi="仿宋_GB2312" w:eastAsia="仿宋_GB2312" w:cs="仿宋_GB2312"/>
          <w:kern w:val="2"/>
          <w:sz w:val="32"/>
          <w:szCs w:val="32"/>
          <w:lang w:val="en-US" w:eastAsia="en-US" w:bidi="ar-SA"/>
        </w:rPr>
        <w:t>探索多种核验方式，提高补贴机具核验水平。对重点机具逐台进行核验，其中牌证管理机具，凭牌证免于现场实物核验；对非重点机具，可采取补贴资金兑付后按比例抽查核验方式进行；对高风险机具,应逐台核验;对安装类、设施类或安全风险较高类补贴机具,以及当地初次出现的高补贴额机具,在安装完成且生产应用一段时间后进行现场核验和补贴兑付；对</w:t>
      </w:r>
      <w:r>
        <w:rPr>
          <w:rFonts w:hint="eastAsia" w:ascii="仿宋_GB2312" w:hAnsi="仿宋_GB2312" w:eastAsia="仿宋_GB2312" w:cs="仿宋_GB2312"/>
          <w:kern w:val="2"/>
          <w:sz w:val="32"/>
          <w:szCs w:val="32"/>
          <w:lang w:val="en-US" w:eastAsia="zh-CN" w:bidi="ar-SA"/>
        </w:rPr>
        <w:t>全</w:t>
      </w:r>
      <w:r>
        <w:rPr>
          <w:rFonts w:hint="eastAsia" w:ascii="仿宋_GB2312" w:hAnsi="仿宋_GB2312" w:eastAsia="仿宋_GB2312" w:cs="仿宋_GB2312"/>
          <w:kern w:val="2"/>
          <w:sz w:val="32"/>
          <w:szCs w:val="32"/>
          <w:lang w:val="en-US" w:eastAsia="en-US" w:bidi="ar-SA"/>
        </w:rPr>
        <w:t>区所用的量大面广的小型机具,可结合实际制定实施便利化可监测的核验方法；对成套设施装备,农业农村部门、财政部门可组织符合条件的第三方开展核验。</w:t>
      </w:r>
    </w:p>
    <w:p w14:paraId="187DA78E">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ascii="Times New Roman" w:hAnsi="Times New Roman" w:eastAsia="仿宋_GB2312"/>
          <w:color w:val="000000"/>
          <w:kern w:val="0"/>
          <w:sz w:val="32"/>
          <w:szCs w:val="32"/>
        </w:rPr>
      </w:pPr>
      <w:r>
        <w:rPr>
          <w:rFonts w:hint="eastAsia" w:ascii="楷体_GB2312" w:hAnsi="Times New Roman" w:eastAsia="楷体_GB2312"/>
          <w:b/>
          <w:color w:val="000000"/>
          <w:spacing w:val="6"/>
          <w:sz w:val="32"/>
          <w:szCs w:val="32"/>
        </w:rPr>
        <w:t>（七）审验公示信息。</w:t>
      </w:r>
      <w:r>
        <w:rPr>
          <w:rFonts w:hint="eastAsia" w:ascii="仿宋_GB2312" w:hAnsi="仿宋_GB2312" w:eastAsia="仿宋_GB2312" w:cs="仿宋_GB2312"/>
          <w:kern w:val="2"/>
          <w:sz w:val="32"/>
          <w:szCs w:val="32"/>
          <w:lang w:val="en-US" w:eastAsia="zh-CN" w:bidi="ar-SA"/>
        </w:rPr>
        <w:t>区</w:t>
      </w:r>
      <w:r>
        <w:rPr>
          <w:rFonts w:hint="eastAsia" w:ascii="仿宋_GB2312" w:hAnsi="仿宋_GB2312" w:eastAsia="仿宋_GB2312" w:cs="仿宋_GB2312"/>
          <w:kern w:val="2"/>
          <w:sz w:val="32"/>
          <w:szCs w:val="32"/>
          <w:lang w:val="en-US" w:eastAsia="en-US" w:bidi="ar-SA"/>
        </w:rPr>
        <w:t>级农业农村部门按照《农机购置与应用补贴机具核验工作要点（试</w:t>
      </w:r>
      <w:r>
        <w:rPr>
          <w:rFonts w:hint="eastAsia" w:ascii="仿宋_GB2312" w:hAnsi="仿宋_GB2312" w:eastAsia="仿宋_GB2312" w:cs="仿宋_GB2312"/>
          <w:kern w:val="2"/>
          <w:sz w:val="32"/>
          <w:szCs w:val="32"/>
          <w:lang w:val="en-US" w:eastAsia="zh-CN" w:bidi="ar-SA"/>
        </w:rPr>
        <w:t>行）》等要求，对补贴相关申请资料进行审核，对补贴机具进行核验。实行牌证管理的机具，要先行办理牌证照，从甘肃省农机安全监理数据平台直接获取机具信息。对符合条件可以受理的，应于13个工作日内（不含公示时间）完成相关核验工作，并在农机购置与应用补贴信息公开专栏实时公布补贴申请信息，公示时间为5个工作日。在乡村或补贴申请点公示栏中同时公开公示信息。</w:t>
      </w:r>
    </w:p>
    <w:p w14:paraId="203FD00B">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ascii="Times New Roman" w:hAnsi="Times New Roman" w:eastAsia="仿宋_GB2312"/>
          <w:color w:val="000000"/>
          <w:kern w:val="0"/>
          <w:sz w:val="32"/>
          <w:szCs w:val="32"/>
        </w:rPr>
      </w:pPr>
      <w:r>
        <w:rPr>
          <w:rFonts w:hint="eastAsia" w:ascii="楷体_GB2312" w:hAnsi="Times New Roman" w:eastAsia="楷体_GB2312"/>
          <w:b/>
          <w:color w:val="000000"/>
          <w:spacing w:val="6"/>
          <w:sz w:val="32"/>
          <w:szCs w:val="32"/>
        </w:rPr>
        <w:t>（八）兑付补贴资金。</w:t>
      </w:r>
      <w:r>
        <w:rPr>
          <w:rFonts w:hint="eastAsia" w:ascii="仿宋_GB2312" w:hAnsi="仿宋_GB2312" w:eastAsia="仿宋_GB2312" w:cs="仿宋_GB2312"/>
          <w:kern w:val="2"/>
          <w:sz w:val="32"/>
          <w:szCs w:val="32"/>
          <w:lang w:val="en-US" w:eastAsia="zh-CN" w:bidi="ar-SA"/>
        </w:rPr>
        <w:t>区农业农村局在公示完成后5个工作日内，向区财政局提交资金兑付申请与有关材料。区财政局于15个工作日内通过国库集中支付方式向符合要求的购机者兑付资金，原则上应通过“一卡通”社保卡和对公账户方式发放。区财政因资金不足或违法违规处理等原因需要延期兑付的，应告知购机者，同时联合向上报告资金供需情况。当年补贴资金兑付工作开展情况与下年资金安排挂钩。补贴申领原则上当年有效，因当年财政补贴资金规模不够、办理手续时间紧张等原因确实难以完成兑付的，可在办理服务系统中进行预登记申请，在下一个年度优先予以兑付。</w:t>
      </w:r>
    </w:p>
    <w:p w14:paraId="6D75066E">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Times New Roman" w:eastAsia="楷体_GB2312"/>
          <w:b/>
          <w:color w:val="000000"/>
          <w:spacing w:val="6"/>
          <w:sz w:val="32"/>
          <w:szCs w:val="32"/>
        </w:rPr>
        <w:t>（九）组织抽查。</w:t>
      </w:r>
      <w:r>
        <w:rPr>
          <w:rFonts w:hint="eastAsia" w:ascii="仿宋_GB2312" w:hAnsi="仿宋_GB2312" w:eastAsia="仿宋_GB2312" w:cs="仿宋_GB2312"/>
          <w:kern w:val="2"/>
          <w:sz w:val="32"/>
          <w:szCs w:val="32"/>
          <w:lang w:val="en-US" w:eastAsia="zh-CN" w:bidi="ar-SA"/>
        </w:rPr>
        <w:t xml:space="preserve">甘州区农业农村局、财政局可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核查，对发现的问题线索进行评估，涉嫌违规的，应及时组织调查并按规定处理，涉嫌犯罪的，要向司法机关移交严处。     </w:t>
      </w:r>
    </w:p>
    <w:p w14:paraId="1F5BFE73">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ascii="Times New Roman" w:hAnsi="Times New Roman" w:eastAsia="仿宋_GB2312"/>
          <w:color w:val="000000"/>
          <w:sz w:val="32"/>
        </w:rPr>
      </w:pPr>
      <w:r>
        <w:rPr>
          <w:rFonts w:hint="eastAsia" w:ascii="仿宋_GB2312" w:hAnsi="仿宋_GB2312" w:eastAsia="仿宋_GB2312" w:cs="仿宋_GB2312"/>
          <w:kern w:val="2"/>
          <w:sz w:val="32"/>
          <w:szCs w:val="32"/>
          <w:lang w:val="en-US" w:eastAsia="zh-CN" w:bidi="ar-SA"/>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36535EDC">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640" w:firstLineChars="200"/>
        <w:jc w:val="both"/>
        <w:textAlignment w:val="auto"/>
        <w:rPr>
          <w:rFonts w:ascii="黑体" w:hAnsi="黑体" w:eastAsia="黑体"/>
          <w:color w:val="000000"/>
          <w:kern w:val="0"/>
          <w:sz w:val="32"/>
          <w:szCs w:val="32"/>
        </w:rPr>
      </w:pPr>
      <w:r>
        <w:rPr>
          <w:rFonts w:hint="eastAsia" w:ascii="黑体" w:hAnsi="黑体" w:eastAsia="黑体"/>
          <w:color w:val="000000"/>
          <w:kern w:val="0"/>
          <w:sz w:val="32"/>
          <w:szCs w:val="32"/>
          <w:lang w:eastAsia="zh-CN"/>
        </w:rPr>
        <w:t>七、</w:t>
      </w:r>
      <w:r>
        <w:rPr>
          <w:rFonts w:ascii="黑体" w:hAnsi="黑体" w:eastAsia="黑体"/>
          <w:color w:val="000000"/>
          <w:kern w:val="0"/>
          <w:sz w:val="32"/>
          <w:szCs w:val="32"/>
        </w:rPr>
        <w:t>工作要求</w:t>
      </w:r>
    </w:p>
    <w:p w14:paraId="32879707">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firstLine="667" w:firstLineChars="200"/>
        <w:jc w:val="both"/>
        <w:textAlignment w:val="auto"/>
        <w:rPr>
          <w:rFonts w:ascii="Times New Roman" w:hAnsi="Times New Roman" w:eastAsia="仿宋_GB2312"/>
          <w:color w:val="000000"/>
          <w:kern w:val="0"/>
          <w:sz w:val="32"/>
          <w:szCs w:val="32"/>
        </w:rPr>
      </w:pPr>
      <w:r>
        <w:rPr>
          <w:rFonts w:hint="eastAsia" w:ascii="楷体_GB2312" w:hAnsi="Times New Roman" w:eastAsia="楷体_GB2312"/>
          <w:b/>
          <w:color w:val="000000"/>
          <w:spacing w:val="6"/>
          <w:sz w:val="32"/>
          <w:szCs w:val="32"/>
          <w:lang w:eastAsia="zh-CN"/>
        </w:rPr>
        <w:t>（一）</w:t>
      </w:r>
      <w:r>
        <w:rPr>
          <w:rFonts w:hint="eastAsia" w:ascii="楷体_GB2312" w:hAnsi="Times New Roman" w:eastAsia="楷体_GB2312"/>
          <w:b/>
          <w:color w:val="000000"/>
          <w:spacing w:val="6"/>
          <w:sz w:val="32"/>
          <w:szCs w:val="32"/>
        </w:rPr>
        <w:t>加强领导，明确分工。</w:t>
      </w:r>
      <w:r>
        <w:rPr>
          <w:rFonts w:hint="eastAsia" w:ascii="仿宋_GB2312" w:hAnsi="仿宋_GB2312" w:eastAsia="仿宋_GB2312" w:cs="仿宋_GB2312"/>
          <w:kern w:val="2"/>
          <w:sz w:val="32"/>
          <w:szCs w:val="32"/>
          <w:lang w:val="en-US" w:eastAsia="zh-CN" w:bidi="ar-SA"/>
        </w:rPr>
        <w:t>甘州区农业农村局、财政局要建立健全政府领导下的联合实施和监管机制,切实加强组织协调,密切沟通配合,健全完善风险防控制度和内部控制规程，明确职责分工,形成工作合力。要组织开展业务培训和廉政警示教育,提高补贴工作人员业务素质和风险防控能力意识。要加强绩效管理,形成管理闭环,切实提升政策实施管理工作能力水平。同时，积极接受省市级农业农村、财政部门对区级农机购置与应用补贴工作的指导，重点开展协调落实、督导检查、预警监测、违规查处等工作。甘州区农业农村局、财政局是农机购置与应用补贴政策的实施主体和责任主体，重大事项须提交区级农机购置与应用补贴领导小组集体研究决策。区级及以下农业农村部门要认真落实组织实施、审核监管责任和财政部门资金兑付、资金监管责任。</w:t>
      </w:r>
    </w:p>
    <w:p w14:paraId="5FB71B62">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firstLine="667"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Times New Roman" w:eastAsia="楷体_GB2312"/>
          <w:b/>
          <w:color w:val="000000"/>
          <w:spacing w:val="6"/>
          <w:sz w:val="32"/>
          <w:szCs w:val="32"/>
          <w:lang w:eastAsia="zh-CN"/>
        </w:rPr>
        <w:t>（二）</w:t>
      </w:r>
      <w:r>
        <w:rPr>
          <w:rFonts w:hint="eastAsia" w:ascii="楷体_GB2312" w:hAnsi="Times New Roman" w:eastAsia="楷体_GB2312"/>
          <w:b/>
          <w:color w:val="000000"/>
          <w:spacing w:val="6"/>
          <w:sz w:val="32"/>
          <w:szCs w:val="32"/>
        </w:rPr>
        <w:t>优化服务，提升效能。</w:t>
      </w:r>
      <w:r>
        <w:rPr>
          <w:rFonts w:hint="eastAsia" w:ascii="仿宋_GB2312" w:hAnsi="仿宋_GB2312" w:eastAsia="仿宋_GB2312" w:cs="仿宋_GB2312"/>
          <w:kern w:val="2"/>
          <w:sz w:val="32"/>
          <w:szCs w:val="32"/>
          <w:lang w:val="en-US" w:eastAsia="zh-CN" w:bidi="ar-SA"/>
        </w:rPr>
        <w:t>实施单位要依托农机购置与应用补贴申请办理服务系统，动态分析农业农村局和财政局办理补贴申请具体时限，及时预警督促超时办理行为，切实加快补贴申请受理、资格审核、机具核验、资金兑付等工作。畅通产业链供应链，营造良好营商环境。</w:t>
      </w:r>
    </w:p>
    <w:p w14:paraId="18997735">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Times New Roman" w:eastAsia="楷体_GB2312"/>
          <w:b/>
          <w:color w:val="000000"/>
          <w:spacing w:val="6"/>
          <w:sz w:val="32"/>
          <w:szCs w:val="32"/>
        </w:rPr>
        <w:t>（三）公开信息，接受监督。</w:t>
      </w:r>
      <w:r>
        <w:rPr>
          <w:rFonts w:hint="eastAsia" w:ascii="仿宋_GB2312" w:hAnsi="仿宋_GB2312" w:eastAsia="仿宋_GB2312" w:cs="仿宋_GB2312"/>
          <w:kern w:val="2"/>
          <w:sz w:val="32"/>
          <w:szCs w:val="32"/>
          <w:lang w:val="en-US" w:eastAsia="zh-CN" w:bidi="ar-SA"/>
        </w:rPr>
        <w:t>甘州区农业农村局要加大补贴政策宣传力度，综合运用各类媒体和各种宣传方式，全方位开展宣传解读，着力提升政策知晓率和实施透明度，要及时主动回应购机者关注的重点事项，正确引导舆论，稳定购机者预期，切实保障全区农民群众和农机企业的知情权、监督权。要健全完善农机购置补贴信息公开专栏，按年度公告近三年甘州区域内补贴受益信息，公开违规查处结果等信息，主动接受社会监督。</w:t>
      </w:r>
    </w:p>
    <w:p w14:paraId="052D3BDA">
      <w:pPr>
        <w:keepNext w:val="0"/>
        <w:keepLines w:val="0"/>
        <w:pageBreakBefore w:val="0"/>
        <w:widowControl w:val="0"/>
        <w:kinsoku/>
        <w:wordWrap/>
        <w:overflowPunct/>
        <w:topLinePunct w:val="0"/>
        <w:autoSpaceDE/>
        <w:autoSpaceDN/>
        <w:bidi w:val="0"/>
        <w:adjustRightInd/>
        <w:spacing w:line="560" w:lineRule="exact"/>
        <w:ind w:left="0" w:leftChars="0" w:right="0" w:firstLine="667"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Times New Roman" w:eastAsia="楷体_GB2312"/>
          <w:b/>
          <w:color w:val="000000"/>
          <w:spacing w:val="6"/>
          <w:sz w:val="32"/>
          <w:szCs w:val="32"/>
        </w:rPr>
        <w:t>（四）加强监管，严惩违规。</w:t>
      </w:r>
      <w:r>
        <w:rPr>
          <w:rFonts w:hint="eastAsia" w:ascii="仿宋_GB2312" w:hAnsi="仿宋_GB2312" w:eastAsia="仿宋_GB2312" w:cs="仿宋_GB2312"/>
          <w:kern w:val="2"/>
          <w:sz w:val="32"/>
          <w:szCs w:val="32"/>
          <w:lang w:val="en-US" w:eastAsia="zh-CN" w:bidi="ar-SA"/>
        </w:rPr>
        <w:t>甘州区农业农村局、财政局要认真贯彻落实《农业农村部办公厅、财政部办公厅关于进一步加强农机购置补贴政策监管强化纪律约束的通知》（农办机〔2019〕6号）和《农业部办公厅、财政部办公厅关于印发&lt;农业机械购置补贴产品违规经营行为处理办法（试行）&gt;的通知》（农办财〔2017〕26号），《甘州区农业农村局&lt;关于印发农机购置补贴三个内控制度的通知&gt;》甘区农发[2021]51号要求，严格落实属地管理责任，加强风险防控和异常情形主动报告，更加严格实施信用管理和农机产销企业承诺制。充分发挥专业机构的技术优势和大数据的信息优势,有效开展违规行为全流程分析排查,强化农业农村和财政部门牵头，其他部门支持的联合查处和省际联动处理,对违法违规行为保持“零容忍”高压态势,从严整治违法违规行为,涉嫌犯罪的,移交司法机关予以查处,有力维护政策实施良好秩序。</w:t>
      </w:r>
    </w:p>
    <w:p w14:paraId="6E80EF7C">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en-US" w:bidi="ar-SA"/>
        </w:rPr>
      </w:pPr>
      <w:r>
        <w:rPr>
          <w:rFonts w:hint="eastAsia" w:ascii="仿宋_GB2312" w:hAnsi="仿宋_GB2312" w:eastAsia="仿宋_GB2312" w:cs="仿宋_GB2312"/>
          <w:kern w:val="2"/>
          <w:sz w:val="32"/>
          <w:szCs w:val="32"/>
          <w:lang w:val="en-US" w:eastAsia="zh-CN" w:bidi="ar-SA"/>
        </w:rPr>
        <w:t>甘州区农业农村局</w:t>
      </w:r>
      <w:r>
        <w:rPr>
          <w:rFonts w:hint="eastAsia" w:ascii="仿宋_GB2312" w:hAnsi="仿宋_GB2312" w:eastAsia="仿宋_GB2312" w:cs="仿宋_GB2312"/>
          <w:kern w:val="2"/>
          <w:sz w:val="32"/>
          <w:szCs w:val="32"/>
          <w:lang w:val="en-US" w:eastAsia="en-US" w:bidi="ar-SA"/>
        </w:rPr>
        <w:t>每年12月5日前，将本年度</w:t>
      </w:r>
      <w:r>
        <w:rPr>
          <w:rFonts w:hint="eastAsia" w:ascii="仿宋_GB2312" w:hAnsi="仿宋_GB2312" w:eastAsia="仿宋_GB2312" w:cs="仿宋_GB2312"/>
          <w:kern w:val="2"/>
          <w:sz w:val="32"/>
          <w:szCs w:val="32"/>
          <w:lang w:val="en-US" w:eastAsia="zh-CN" w:bidi="ar-SA"/>
        </w:rPr>
        <w:t>农机购置与应用补贴</w:t>
      </w:r>
      <w:r>
        <w:rPr>
          <w:rFonts w:hint="eastAsia" w:ascii="仿宋_GB2312" w:hAnsi="仿宋_GB2312" w:eastAsia="仿宋_GB2312" w:cs="仿宋_GB2312"/>
          <w:kern w:val="2"/>
          <w:sz w:val="32"/>
          <w:szCs w:val="32"/>
          <w:lang w:val="en-US" w:eastAsia="en-US" w:bidi="ar-SA"/>
        </w:rPr>
        <w:t>政策实施总结报告报送省农业农村厅、省财政厅，并抄报</w:t>
      </w:r>
      <w:r>
        <w:rPr>
          <w:rFonts w:hint="eastAsia" w:ascii="仿宋_GB2312" w:hAnsi="仿宋_GB2312" w:eastAsia="仿宋_GB2312" w:cs="仿宋_GB2312"/>
          <w:kern w:val="2"/>
          <w:sz w:val="32"/>
          <w:szCs w:val="32"/>
          <w:lang w:val="en-US" w:eastAsia="zh-CN" w:bidi="ar-SA"/>
        </w:rPr>
        <w:t>张掖市</w:t>
      </w:r>
      <w:r>
        <w:rPr>
          <w:rFonts w:hint="eastAsia" w:ascii="仿宋_GB2312" w:hAnsi="仿宋_GB2312" w:eastAsia="仿宋_GB2312" w:cs="仿宋_GB2312"/>
          <w:kern w:val="2"/>
          <w:sz w:val="32"/>
          <w:szCs w:val="32"/>
          <w:lang w:val="en-US" w:eastAsia="en-US" w:bidi="ar-SA"/>
        </w:rPr>
        <w:t>农业农村</w:t>
      </w:r>
      <w:r>
        <w:rPr>
          <w:rFonts w:hint="eastAsia" w:ascii="仿宋_GB2312" w:hAnsi="仿宋_GB2312" w:eastAsia="仿宋_GB2312" w:cs="仿宋_GB2312"/>
          <w:kern w:val="2"/>
          <w:sz w:val="32"/>
          <w:szCs w:val="32"/>
          <w:lang w:val="en-US" w:eastAsia="zh-CN" w:bidi="ar-SA"/>
        </w:rPr>
        <w:t>局</w:t>
      </w:r>
      <w:r>
        <w:rPr>
          <w:rFonts w:hint="eastAsia" w:ascii="仿宋_GB2312" w:hAnsi="仿宋_GB2312" w:eastAsia="仿宋_GB2312" w:cs="仿宋_GB2312"/>
          <w:kern w:val="2"/>
          <w:sz w:val="32"/>
          <w:szCs w:val="32"/>
          <w:lang w:val="en-US" w:eastAsia="en-US" w:bidi="ar-SA"/>
        </w:rPr>
        <w:t>、财政</w:t>
      </w:r>
      <w:r>
        <w:rPr>
          <w:rFonts w:hint="eastAsia" w:ascii="仿宋_GB2312" w:hAnsi="仿宋_GB2312" w:eastAsia="仿宋_GB2312" w:cs="仿宋_GB2312"/>
          <w:kern w:val="2"/>
          <w:sz w:val="32"/>
          <w:szCs w:val="32"/>
          <w:lang w:val="en-US" w:eastAsia="zh-CN" w:bidi="ar-SA"/>
        </w:rPr>
        <w:t>局</w:t>
      </w:r>
      <w:r>
        <w:rPr>
          <w:rFonts w:hint="eastAsia" w:ascii="仿宋_GB2312" w:hAnsi="仿宋_GB2312" w:eastAsia="仿宋_GB2312" w:cs="仿宋_GB2312"/>
          <w:kern w:val="2"/>
          <w:sz w:val="32"/>
          <w:szCs w:val="32"/>
          <w:lang w:val="en-US" w:eastAsia="en-US" w:bidi="ar-SA"/>
        </w:rPr>
        <w:t>。</w:t>
      </w:r>
    </w:p>
    <w:p w14:paraId="5BC085E0">
      <w:pPr>
        <w:keepNext w:val="0"/>
        <w:keepLines w:val="0"/>
        <w:pageBreakBefore w:val="0"/>
        <w:widowControl w:val="0"/>
        <w:kinsoku/>
        <w:wordWrap/>
        <w:overflowPunct/>
        <w:topLinePunct w:val="0"/>
        <w:autoSpaceDE/>
        <w:autoSpaceDN/>
        <w:bidi w:val="0"/>
        <w:adjustRightInd/>
        <w:spacing w:line="560" w:lineRule="exact"/>
        <w:textAlignment w:val="auto"/>
      </w:pPr>
    </w:p>
    <w:p w14:paraId="02EBC49B">
      <w:pPr>
        <w:keepNext w:val="0"/>
        <w:keepLines w:val="0"/>
        <w:pageBreakBefore w:val="0"/>
        <w:widowControl w:val="0"/>
        <w:kinsoku/>
        <w:wordWrap/>
        <w:overflowPunct/>
        <w:topLinePunct w:val="0"/>
        <w:autoSpaceDE/>
        <w:autoSpaceDN/>
        <w:bidi w:val="0"/>
        <w:adjustRightInd/>
        <w:spacing w:line="560" w:lineRule="exact"/>
        <w:ind w:left="1918" w:leftChars="304" w:right="0" w:hanging="1280" w:hangingChars="4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w:t>
      </w:r>
      <w:bookmarkStart w:id="1" w:name="_Hlk151355661"/>
      <w:r>
        <w:rPr>
          <w:rFonts w:hint="eastAsia" w:ascii="仿宋_GB2312" w:hAnsi="仿宋_GB2312" w:eastAsia="仿宋_GB2312" w:cs="仿宋_GB2312"/>
          <w:kern w:val="2"/>
          <w:sz w:val="32"/>
          <w:szCs w:val="32"/>
          <w:lang w:val="en-US" w:eastAsia="zh-CN" w:bidi="ar-SA"/>
        </w:rPr>
        <w:t>：1.甘肃省2024-2026年农机购置与应用补贴机具种类范围</w:t>
      </w:r>
      <w:bookmarkEnd w:id="1"/>
    </w:p>
    <w:p w14:paraId="49B62DD4">
      <w:pPr>
        <w:keepNext w:val="0"/>
        <w:keepLines w:val="0"/>
        <w:pageBreakBefore w:val="0"/>
        <w:widowControl w:val="0"/>
        <w:kinsoku/>
        <w:wordWrap/>
        <w:overflowPunct/>
        <w:topLinePunct w:val="0"/>
        <w:autoSpaceDE/>
        <w:autoSpaceDN/>
        <w:bidi w:val="0"/>
        <w:adjustRightInd/>
        <w:spacing w:line="560" w:lineRule="exact"/>
        <w:ind w:right="0" w:firstLine="1600" w:firstLineChars="5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2.甘州区农机购置与应用补贴机具核验工作要点</w:t>
      </w:r>
    </w:p>
    <w:p w14:paraId="262F0577">
      <w:pPr>
        <w:keepNext w:val="0"/>
        <w:keepLines w:val="0"/>
        <w:pageBreakBefore w:val="0"/>
        <w:widowControl w:val="0"/>
        <w:kinsoku/>
        <w:wordWrap/>
        <w:overflowPunct/>
        <w:topLinePunct w:val="0"/>
        <w:autoSpaceDE/>
        <w:autoSpaceDN/>
        <w:bidi w:val="0"/>
        <w:adjustRightInd/>
        <w:spacing w:line="560" w:lineRule="exact"/>
        <w:ind w:left="1916" w:leftChars="760" w:right="0" w:hanging="320" w:hangingChars="1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3.甘州区农机购置与应用补贴工作领导小组组成人员及工作职责</w:t>
      </w:r>
    </w:p>
    <w:p w14:paraId="770FC1A5">
      <w:pPr>
        <w:keepNext w:val="0"/>
        <w:keepLines w:val="0"/>
        <w:pageBreakBefore w:val="0"/>
        <w:widowControl w:val="0"/>
        <w:kinsoku/>
        <w:wordWrap/>
        <w:overflowPunct/>
        <w:topLinePunct w:val="0"/>
        <w:autoSpaceDE/>
        <w:autoSpaceDN/>
        <w:bidi w:val="0"/>
        <w:adjustRightInd/>
        <w:spacing w:line="560" w:lineRule="exact"/>
        <w:ind w:left="0" w:leftChars="0" w:right="0" w:firstLine="1600" w:firstLineChars="500"/>
        <w:jc w:val="both"/>
        <w:textAlignment w:val="auto"/>
        <w:rPr>
          <w:rFonts w:ascii="Times New Roman" w:hAnsi="Times New Roman" w:eastAsia="仿宋_GB2312"/>
          <w:color w:val="000000"/>
          <w:spacing w:val="-9"/>
          <w:sz w:val="32"/>
          <w:szCs w:val="32"/>
        </w:rPr>
      </w:pPr>
      <w:r>
        <w:rPr>
          <w:rFonts w:hint="eastAsia" w:ascii="仿宋_GB2312" w:hAnsi="仿宋_GB2312" w:eastAsia="仿宋_GB2312" w:cs="仿宋_GB2312"/>
          <w:kern w:val="2"/>
          <w:sz w:val="32"/>
          <w:szCs w:val="32"/>
          <w:lang w:val="en-US" w:eastAsia="zh-CN" w:bidi="ar-SA"/>
        </w:rPr>
        <w:t>4.甘州区农机购置与应用补贴机具核验表</w:t>
      </w:r>
    </w:p>
    <w:p w14:paraId="3C7BABD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lang w:eastAsia="en-US"/>
        </w:rPr>
      </w:pPr>
    </w:p>
    <w:p w14:paraId="45011DBE">
      <w:pPr>
        <w:pStyle w:val="2"/>
        <w:rPr>
          <w:lang w:eastAsia="en-US"/>
        </w:rPr>
      </w:pPr>
    </w:p>
    <w:p w14:paraId="242AE5BA">
      <w:pPr>
        <w:rPr>
          <w:lang w:eastAsia="en-US"/>
        </w:rPr>
      </w:pPr>
    </w:p>
    <w:p w14:paraId="173852B9">
      <w:pPr>
        <w:pStyle w:val="2"/>
        <w:rPr>
          <w:lang w:eastAsia="en-US"/>
        </w:rPr>
      </w:pPr>
    </w:p>
    <w:p w14:paraId="3DEF7783">
      <w:pPr>
        <w:rPr>
          <w:lang w:eastAsia="en-US"/>
        </w:rPr>
      </w:pPr>
    </w:p>
    <w:p w14:paraId="369D44C0">
      <w:pPr>
        <w:pStyle w:val="2"/>
        <w:rPr>
          <w:lang w:eastAsia="en-US"/>
        </w:rPr>
      </w:pPr>
    </w:p>
    <w:p w14:paraId="763D2D12">
      <w:pPr>
        <w:rPr>
          <w:lang w:eastAsia="en-US"/>
        </w:rPr>
      </w:pPr>
    </w:p>
    <w:p w14:paraId="23F140C8">
      <w:pPr>
        <w:pStyle w:val="2"/>
        <w:rPr>
          <w:lang w:eastAsia="en-US"/>
        </w:rPr>
      </w:pPr>
    </w:p>
    <w:p w14:paraId="7B9D9043">
      <w:pPr>
        <w:rPr>
          <w:lang w:eastAsia="en-US"/>
        </w:rPr>
      </w:pPr>
    </w:p>
    <w:p w14:paraId="2B57DA8D">
      <w:pPr>
        <w:pStyle w:val="2"/>
        <w:rPr>
          <w:lang w:eastAsia="en-US"/>
        </w:rPr>
      </w:pPr>
    </w:p>
    <w:p w14:paraId="0A1C058B">
      <w:pPr>
        <w:rPr>
          <w:lang w:eastAsia="en-US"/>
        </w:rPr>
      </w:pPr>
    </w:p>
    <w:p w14:paraId="157A78D7">
      <w:pPr>
        <w:pStyle w:val="2"/>
        <w:rPr>
          <w:lang w:eastAsia="en-US"/>
        </w:rPr>
      </w:pPr>
    </w:p>
    <w:p w14:paraId="1E289909">
      <w:pPr>
        <w:rPr>
          <w:lang w:eastAsia="en-US"/>
        </w:rPr>
      </w:pPr>
    </w:p>
    <w:p w14:paraId="11D102DF">
      <w:pPr>
        <w:pStyle w:val="2"/>
        <w:rPr>
          <w:lang w:eastAsia="en-US"/>
        </w:rPr>
      </w:pPr>
    </w:p>
    <w:p w14:paraId="781D90A1">
      <w:pPr>
        <w:rPr>
          <w:lang w:eastAsia="en-US"/>
        </w:rPr>
      </w:pPr>
    </w:p>
    <w:p w14:paraId="48459747">
      <w:pPr>
        <w:pStyle w:val="2"/>
        <w:rPr>
          <w:lang w:eastAsia="en-US"/>
        </w:rPr>
      </w:pPr>
    </w:p>
    <w:p w14:paraId="53049E14">
      <w:pPr>
        <w:rPr>
          <w:lang w:eastAsia="en-US"/>
        </w:rPr>
      </w:pPr>
    </w:p>
    <w:p w14:paraId="282FFF55">
      <w:pPr>
        <w:pStyle w:val="2"/>
        <w:rPr>
          <w:lang w:eastAsia="en-US"/>
        </w:rPr>
      </w:pPr>
    </w:p>
    <w:p w14:paraId="57E3944D">
      <w:pPr>
        <w:pStyle w:val="3"/>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firstLine="0" w:firstLineChars="0"/>
        <w:jc w:val="both"/>
        <w:rPr>
          <w:rFonts w:ascii="黑体" w:hAnsi="黑体" w:eastAsia="黑体" w:cs="Times New Roman"/>
          <w:b w:val="0"/>
          <w:bCs w:val="0"/>
          <w:color w:val="000000"/>
          <w:kern w:val="0"/>
          <w:sz w:val="32"/>
          <w:szCs w:val="32"/>
        </w:rPr>
      </w:pPr>
      <w:r>
        <w:rPr>
          <w:rFonts w:ascii="黑体" w:hAnsi="黑体" w:eastAsia="黑体" w:cs="Times New Roman"/>
          <w:b w:val="0"/>
          <w:bCs w:val="0"/>
          <w:color w:val="000000"/>
          <w:kern w:val="0"/>
          <w:sz w:val="32"/>
          <w:szCs w:val="32"/>
        </w:rPr>
        <w:t>附件1</w:t>
      </w:r>
    </w:p>
    <w:p w14:paraId="10713E7D">
      <w:pPr>
        <w:keepNext w:val="0"/>
        <w:keepLines w:val="0"/>
        <w:pageBreakBefore w:val="0"/>
        <w:widowControl w:val="0"/>
        <w:kinsoku/>
        <w:wordWrap/>
        <w:overflowPunct/>
        <w:topLinePunct w:val="0"/>
        <w:autoSpaceDE/>
        <w:autoSpaceDN/>
        <w:bidi w:val="0"/>
        <w:adjustRightInd/>
        <w:spacing w:line="560" w:lineRule="exact"/>
        <w:ind w:left="0" w:leftChars="0" w:right="0" w:firstLine="0" w:firstLineChars="0"/>
        <w:jc w:val="both"/>
        <w:rPr>
          <w:rFonts w:ascii="Times New Roman" w:hAnsi="Times New Roman" w:eastAsia="CESI仿宋-GB2312"/>
          <w:color w:val="000000"/>
          <w:kern w:val="0"/>
          <w:sz w:val="32"/>
          <w:szCs w:val="32"/>
        </w:rPr>
      </w:pPr>
    </w:p>
    <w:p w14:paraId="2F613B6E">
      <w:pPr>
        <w:pStyle w:val="3"/>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firstLine="0" w:firstLineChars="0"/>
        <w:jc w:val="center"/>
        <w:rPr>
          <w:rFonts w:hint="eastAsia" w:ascii="方正小标宋简体" w:hAnsi="CESI宋体-GB2312" w:eastAsia="方正小标宋简体" w:cs="Times New Roman"/>
          <w:b w:val="0"/>
          <w:color w:val="000000"/>
          <w:kern w:val="0"/>
          <w:sz w:val="44"/>
          <w:szCs w:val="44"/>
        </w:rPr>
      </w:pPr>
      <w:r>
        <w:rPr>
          <w:rFonts w:hint="eastAsia" w:ascii="方正小标宋简体" w:hAnsi="Times New Roman" w:eastAsia="方正小标宋简体" w:cs="Times New Roman"/>
          <w:b w:val="0"/>
          <w:color w:val="000000"/>
          <w:kern w:val="0"/>
          <w:sz w:val="44"/>
          <w:szCs w:val="44"/>
        </w:rPr>
        <w:t>2024—2026</w:t>
      </w:r>
      <w:r>
        <w:rPr>
          <w:rFonts w:hint="eastAsia" w:ascii="方正小标宋简体" w:hAnsi="CESI宋体-GB2312" w:eastAsia="方正小标宋简体" w:cs="Times New Roman"/>
          <w:b w:val="0"/>
          <w:color w:val="000000"/>
          <w:kern w:val="0"/>
          <w:sz w:val="44"/>
          <w:szCs w:val="44"/>
        </w:rPr>
        <w:t>年甘肃省农机购置与</w:t>
      </w:r>
    </w:p>
    <w:p w14:paraId="748C43C3">
      <w:pPr>
        <w:pStyle w:val="3"/>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firstLine="0" w:firstLineChars="0"/>
        <w:jc w:val="center"/>
        <w:rPr>
          <w:rFonts w:hint="eastAsia" w:ascii="方正小标宋简体" w:hAnsi="Times New Roman" w:eastAsia="方正小标宋简体" w:cs="Times New Roman"/>
          <w:b w:val="0"/>
          <w:color w:val="000000"/>
          <w:kern w:val="0"/>
          <w:sz w:val="44"/>
          <w:szCs w:val="44"/>
        </w:rPr>
      </w:pPr>
      <w:r>
        <w:rPr>
          <w:rFonts w:hint="eastAsia" w:ascii="方正小标宋简体" w:hAnsi="CESI宋体-GB2312" w:eastAsia="方正小标宋简体" w:cs="Times New Roman"/>
          <w:b w:val="0"/>
          <w:color w:val="000000"/>
          <w:kern w:val="0"/>
          <w:sz w:val="44"/>
          <w:szCs w:val="44"/>
        </w:rPr>
        <w:t>应用补贴机具种类范围</w:t>
      </w:r>
    </w:p>
    <w:p w14:paraId="17EAB605">
      <w:pPr>
        <w:pStyle w:val="4"/>
        <w:keepNext w:val="0"/>
        <w:keepLines w:val="0"/>
        <w:pageBreakBefore w:val="0"/>
        <w:widowControl w:val="0"/>
        <w:kinsoku/>
        <w:wordWrap/>
        <w:overflowPunct/>
        <w:topLinePunct w:val="0"/>
        <w:autoSpaceDE/>
        <w:autoSpaceDN/>
        <w:bidi w:val="0"/>
        <w:adjustRightInd/>
        <w:spacing w:before="0" w:beforeLines="0" w:after="0" w:afterLines="0" w:line="560" w:lineRule="exact"/>
        <w:ind w:left="0" w:leftChars="0" w:right="0" w:firstLine="0" w:firstLineChars="0"/>
        <w:jc w:val="center"/>
        <w:rPr>
          <w:rFonts w:ascii="Times New Roman" w:hAnsi="Times New Roman" w:eastAsia="CESI仿宋-GB2312"/>
          <w:color w:val="000000"/>
          <w:kern w:val="0"/>
          <w:sz w:val="32"/>
          <w:szCs w:val="32"/>
        </w:rPr>
      </w:pPr>
      <w:bookmarkStart w:id="2" w:name="_Toc26437938"/>
      <w:r>
        <w:rPr>
          <w:rFonts w:ascii="Times New Roman" w:hAnsi="CESI仿宋-GB2312" w:eastAsia="CESI仿宋-GB2312"/>
          <w:color w:val="000000"/>
          <w:kern w:val="0"/>
          <w:sz w:val="32"/>
          <w:szCs w:val="32"/>
        </w:rPr>
        <w:t>（</w:t>
      </w:r>
      <w:r>
        <w:rPr>
          <w:rFonts w:ascii="Times New Roman" w:hAnsi="Times New Roman" w:eastAsia="CESI仿宋-GB2312"/>
          <w:color w:val="000000"/>
          <w:kern w:val="0"/>
          <w:sz w:val="32"/>
          <w:szCs w:val="32"/>
        </w:rPr>
        <w:t>23</w:t>
      </w:r>
      <w:r>
        <w:rPr>
          <w:rFonts w:ascii="Times New Roman" w:hAnsi="CESI仿宋-GB2312" w:eastAsia="CESI仿宋-GB2312"/>
          <w:color w:val="000000"/>
          <w:kern w:val="0"/>
          <w:sz w:val="32"/>
          <w:szCs w:val="32"/>
        </w:rPr>
        <w:t>大类</w:t>
      </w:r>
      <w:r>
        <w:rPr>
          <w:rFonts w:ascii="Times New Roman" w:hAnsi="Times New Roman" w:eastAsia="CESI仿宋-GB2312"/>
          <w:color w:val="000000"/>
          <w:kern w:val="0"/>
          <w:sz w:val="32"/>
          <w:szCs w:val="32"/>
        </w:rPr>
        <w:t>52</w:t>
      </w:r>
      <w:r>
        <w:rPr>
          <w:rFonts w:ascii="Times New Roman" w:hAnsi="CESI仿宋-GB2312" w:eastAsia="CESI仿宋-GB2312"/>
          <w:color w:val="000000"/>
          <w:kern w:val="0"/>
          <w:sz w:val="32"/>
          <w:szCs w:val="32"/>
        </w:rPr>
        <w:t>个小类</w:t>
      </w:r>
      <w:r>
        <w:rPr>
          <w:rFonts w:ascii="Times New Roman" w:hAnsi="Times New Roman" w:eastAsia="CESI仿宋-GB2312"/>
          <w:color w:val="000000"/>
          <w:kern w:val="0"/>
          <w:sz w:val="32"/>
          <w:szCs w:val="32"/>
        </w:rPr>
        <w:t>146</w:t>
      </w:r>
      <w:r>
        <w:rPr>
          <w:rFonts w:ascii="Times New Roman" w:hAnsi="CESI仿宋-GB2312" w:eastAsia="CESI仿宋-GB2312"/>
          <w:color w:val="000000"/>
          <w:kern w:val="0"/>
          <w:sz w:val="32"/>
          <w:szCs w:val="32"/>
        </w:rPr>
        <w:t>个品目）</w:t>
      </w:r>
      <w:bookmarkEnd w:id="2"/>
    </w:p>
    <w:p w14:paraId="34E9B60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center"/>
        <w:textAlignment w:val="center"/>
        <w:rPr>
          <w:rFonts w:ascii="Times New Roman" w:hAnsi="Times New Roman" w:eastAsia="CESI仿宋-GB2312"/>
          <w:b/>
          <w:bCs/>
          <w:color w:val="000000"/>
          <w:sz w:val="32"/>
          <w:szCs w:val="32"/>
        </w:rPr>
      </w:pPr>
    </w:p>
    <w:p w14:paraId="4C6DAE5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sz w:val="32"/>
          <w:szCs w:val="32"/>
        </w:rPr>
      </w:pPr>
      <w:r>
        <w:rPr>
          <w:rFonts w:ascii="黑体" w:hAnsi="黑体" w:eastAsia="黑体"/>
          <w:color w:val="000000"/>
          <w:kern w:val="0"/>
          <w:sz w:val="32"/>
          <w:szCs w:val="32"/>
          <w:lang w:bidi="ar"/>
        </w:rPr>
        <w:t>1.耕整地机械</w:t>
      </w:r>
      <w:r>
        <w:rPr>
          <w:rFonts w:ascii="黑体" w:hAnsi="黑体" w:eastAsia="黑体"/>
          <w:color w:val="000000"/>
          <w:sz w:val="32"/>
          <w:szCs w:val="32"/>
        </w:rPr>
        <w:tab/>
      </w:r>
    </w:p>
    <w:p w14:paraId="2439B6F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sz w:val="32"/>
          <w:szCs w:val="32"/>
        </w:rPr>
      </w:pPr>
      <w:r>
        <w:rPr>
          <w:rFonts w:ascii="Times New Roman" w:hAnsi="Times New Roman" w:eastAsia="仿宋_GB2312"/>
          <w:b/>
          <w:bCs/>
          <w:color w:val="000000"/>
          <w:kern w:val="0"/>
          <w:sz w:val="32"/>
          <w:szCs w:val="32"/>
          <w:lang w:bidi="ar"/>
        </w:rPr>
        <w:t>1.1耕地机械</w:t>
      </w:r>
      <w:r>
        <w:rPr>
          <w:rFonts w:ascii="Times New Roman" w:hAnsi="Times New Roman" w:eastAsia="仿宋_GB2312"/>
          <w:b/>
          <w:bCs/>
          <w:color w:val="000000"/>
          <w:sz w:val="32"/>
          <w:szCs w:val="32"/>
        </w:rPr>
        <w:tab/>
      </w:r>
    </w:p>
    <w:p w14:paraId="66FAAD3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1.1.1犁</w:t>
      </w:r>
    </w:p>
    <w:p w14:paraId="2B864CA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1.1.2旋耕机</w:t>
      </w:r>
    </w:p>
    <w:p w14:paraId="489FB19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1.1.3微型耕耘机</w:t>
      </w:r>
    </w:p>
    <w:p w14:paraId="639AB73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1.1.4耕整机</w:t>
      </w:r>
    </w:p>
    <w:p w14:paraId="3F63485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1.1.5深松机</w:t>
      </w:r>
    </w:p>
    <w:p w14:paraId="0637890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1.1.6开沟机</w:t>
      </w:r>
    </w:p>
    <w:p w14:paraId="188F56F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1.1.7挖坑（成穴）机</w:t>
      </w:r>
    </w:p>
    <w:p w14:paraId="63852EA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sz w:val="32"/>
          <w:szCs w:val="32"/>
        </w:rPr>
      </w:pPr>
      <w:r>
        <w:rPr>
          <w:rFonts w:ascii="Times New Roman" w:hAnsi="Times New Roman" w:eastAsia="仿宋_GB2312"/>
          <w:b/>
          <w:bCs/>
          <w:color w:val="000000"/>
          <w:kern w:val="0"/>
          <w:sz w:val="32"/>
          <w:szCs w:val="32"/>
          <w:lang w:bidi="ar"/>
        </w:rPr>
        <w:t>1.2整地机械</w:t>
      </w:r>
      <w:r>
        <w:rPr>
          <w:rFonts w:ascii="Times New Roman" w:hAnsi="Times New Roman" w:eastAsia="仿宋_GB2312"/>
          <w:b/>
          <w:bCs/>
          <w:color w:val="000000"/>
          <w:sz w:val="32"/>
          <w:szCs w:val="32"/>
        </w:rPr>
        <w:tab/>
      </w:r>
    </w:p>
    <w:p w14:paraId="24D9A2A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1.2.1耙（限圆盘耙、驱动耙）</w:t>
      </w:r>
    </w:p>
    <w:p w14:paraId="2225303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1.2.2起垄机</w:t>
      </w:r>
    </w:p>
    <w:p w14:paraId="373D5B2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1.2.3筑埂机</w:t>
      </w:r>
    </w:p>
    <w:p w14:paraId="4FB6698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1.2.4灭茬机（不含平茬机、宿根整理机）</w:t>
      </w:r>
    </w:p>
    <w:p w14:paraId="25EF0B2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1.2.5铺膜机</w:t>
      </w:r>
    </w:p>
    <w:p w14:paraId="16C1C01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1.3耕整地联合作业机械（可含施肥功能）</w:t>
      </w:r>
    </w:p>
    <w:p w14:paraId="4DE2210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1.3.1联合整地机</w:t>
      </w:r>
    </w:p>
    <w:p w14:paraId="2B425EF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1.3.2深松整地联合作业机</w:t>
      </w:r>
    </w:p>
    <w:p w14:paraId="098C105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2.种植施肥机械</w:t>
      </w:r>
    </w:p>
    <w:p w14:paraId="1F30C02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sz w:val="32"/>
          <w:szCs w:val="32"/>
        </w:rPr>
      </w:pPr>
      <w:r>
        <w:rPr>
          <w:rFonts w:ascii="Times New Roman" w:hAnsi="Times New Roman" w:eastAsia="仿宋_GB2312"/>
          <w:b/>
          <w:bCs/>
          <w:color w:val="000000"/>
          <w:kern w:val="0"/>
          <w:sz w:val="32"/>
          <w:szCs w:val="32"/>
          <w:lang w:bidi="ar"/>
        </w:rPr>
        <w:t>2.1种子播前处理和育苗机械设备</w:t>
      </w:r>
      <w:r>
        <w:rPr>
          <w:rFonts w:ascii="Times New Roman" w:hAnsi="Times New Roman" w:eastAsia="仿宋_GB2312"/>
          <w:b/>
          <w:bCs/>
          <w:color w:val="000000"/>
          <w:sz w:val="32"/>
          <w:szCs w:val="32"/>
        </w:rPr>
        <w:tab/>
      </w:r>
    </w:p>
    <w:p w14:paraId="0EF1D34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2.1.1种子催芽机</w:t>
      </w:r>
    </w:p>
    <w:p w14:paraId="167FD9F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2.1.2苗床用土粉碎机</w:t>
      </w:r>
    </w:p>
    <w:p w14:paraId="58F3E65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2.1.3育秧（苗）播种设备</w:t>
      </w:r>
    </w:p>
    <w:p w14:paraId="5A75F4F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2.1.4营养钵压制机</w:t>
      </w:r>
    </w:p>
    <w:p w14:paraId="125663C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2.2播种机械（可含施肥功能）</w:t>
      </w:r>
    </w:p>
    <w:p w14:paraId="15A72B9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2.2.1条播机</w:t>
      </w:r>
    </w:p>
    <w:p w14:paraId="4DD1433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2.2.2穴播机</w:t>
      </w:r>
    </w:p>
    <w:p w14:paraId="45C47C1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2.2.3单粒（精密）播种机</w:t>
      </w:r>
    </w:p>
    <w:p w14:paraId="057C9B6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2.2.4根（块）茎种子播种机</w:t>
      </w:r>
    </w:p>
    <w:p w14:paraId="7CA49A0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2.3耕整地播种作业机械(可含施肥功能）</w:t>
      </w:r>
    </w:p>
    <w:p w14:paraId="1E7D5B7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2.3.1旋耕播种机</w:t>
      </w:r>
    </w:p>
    <w:p w14:paraId="702C844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2.3.2铺膜（带）播种机</w:t>
      </w:r>
    </w:p>
    <w:p w14:paraId="2165B16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2.3.3秸秆还田整地播种机</w:t>
      </w:r>
    </w:p>
    <w:p w14:paraId="6E7F6C4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2.4栽植机械</w:t>
      </w:r>
    </w:p>
    <w:p w14:paraId="3219CE8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2.4.1插秧机</w:t>
      </w:r>
    </w:p>
    <w:p w14:paraId="7442FF9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2.4.2抛秧机</w:t>
      </w:r>
    </w:p>
    <w:p w14:paraId="6C45AE2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2.4.3移栽机</w:t>
      </w:r>
    </w:p>
    <w:p w14:paraId="50F55D5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2.5施肥机械</w:t>
      </w:r>
    </w:p>
    <w:p w14:paraId="231A6F7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2.5.1施肥机</w:t>
      </w:r>
    </w:p>
    <w:p w14:paraId="7E1E40F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2.5.2撒（抛)肥机</w:t>
      </w:r>
    </w:p>
    <w:p w14:paraId="11F05A9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2.5.3侧深施肥装置</w:t>
      </w:r>
    </w:p>
    <w:p w14:paraId="6179F6B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3.田间管理机械</w:t>
      </w:r>
    </w:p>
    <w:p w14:paraId="3375DB4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3.1中耕机械</w:t>
      </w:r>
    </w:p>
    <w:p w14:paraId="7442003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3.1.1中耕机</w:t>
      </w:r>
    </w:p>
    <w:p w14:paraId="2A2CFC1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3.1.2田园管理机</w:t>
      </w:r>
    </w:p>
    <w:p w14:paraId="1E75B7D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3.1.3割草机（含果园无人割草机）</w:t>
      </w:r>
    </w:p>
    <w:p w14:paraId="714E648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3.2植保机械</w:t>
      </w:r>
    </w:p>
    <w:p w14:paraId="6E0C62E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3.2.1喷雾机</w:t>
      </w:r>
    </w:p>
    <w:p w14:paraId="2D86489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3.2.2农用（植保）无人驾驶航空器（可含撒播等功能）</w:t>
      </w:r>
    </w:p>
    <w:p w14:paraId="15C66BA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3.3修剪防护管理机械</w:t>
      </w:r>
    </w:p>
    <w:p w14:paraId="1D46735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3.3.1修剪机</w:t>
      </w:r>
    </w:p>
    <w:p w14:paraId="7D1F9E7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3.3.2枝条切碎机</w:t>
      </w:r>
    </w:p>
    <w:p w14:paraId="31F8A6A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3.3.3去雄机</w:t>
      </w:r>
    </w:p>
    <w:p w14:paraId="5277309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3.3.4埋藤机</w:t>
      </w:r>
    </w:p>
    <w:p w14:paraId="67074C5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3.3.5农用升降作业平台</w:t>
      </w:r>
    </w:p>
    <w:p w14:paraId="6B7C0BD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4.灌溉机械</w:t>
      </w:r>
    </w:p>
    <w:p w14:paraId="36C2BA3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4.1喷灌机械</w:t>
      </w:r>
    </w:p>
    <w:p w14:paraId="7ED929F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4.1.1喷灌机</w:t>
      </w:r>
    </w:p>
    <w:p w14:paraId="5C6C8AA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4.2微灌设备</w:t>
      </w:r>
    </w:p>
    <w:p w14:paraId="01DE152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4.2.1微喷灌设备</w:t>
      </w:r>
    </w:p>
    <w:p w14:paraId="1D8F8A2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4.2.2灌溉首部</w:t>
      </w:r>
    </w:p>
    <w:p w14:paraId="6043937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5.收获机械</w:t>
      </w:r>
    </w:p>
    <w:p w14:paraId="22E9C0A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5.1粮食作物收获机械</w:t>
      </w:r>
    </w:p>
    <w:p w14:paraId="27CF0FF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5.1.1割晒机</w:t>
      </w:r>
    </w:p>
    <w:p w14:paraId="30D93C0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5.1.2玉米剥皮机</w:t>
      </w:r>
    </w:p>
    <w:p w14:paraId="546756D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5.1.3脱粒机</w:t>
      </w:r>
    </w:p>
    <w:p w14:paraId="76AD234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5.1.4谷物联合收割机</w:t>
      </w:r>
    </w:p>
    <w:p w14:paraId="05F84D6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5.1.5玉米收获机</w:t>
      </w:r>
    </w:p>
    <w:p w14:paraId="4450D0F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5.1.6薯类收获机</w:t>
      </w:r>
    </w:p>
    <w:p w14:paraId="7D9491E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5.2棉麻作物收获机械</w:t>
      </w:r>
    </w:p>
    <w:p w14:paraId="55B5D41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5.2.1棉花收获机</w:t>
      </w:r>
    </w:p>
    <w:p w14:paraId="6A7F247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5.3油料作物收获机械</w:t>
      </w:r>
    </w:p>
    <w:p w14:paraId="26F6663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5.3.1大豆收获机</w:t>
      </w:r>
    </w:p>
    <w:p w14:paraId="2CC5DF4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5.3.2花生收获机</w:t>
      </w:r>
    </w:p>
    <w:p w14:paraId="23268BA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5.3.3油菜籽收获机</w:t>
      </w:r>
    </w:p>
    <w:p w14:paraId="2DAE5C9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5.3.4葵花籽收获机</w:t>
      </w:r>
    </w:p>
    <w:p w14:paraId="7868386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5.4糖料作物收获机械</w:t>
      </w:r>
    </w:p>
    <w:p w14:paraId="7463584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5.4.1甜菜收获机</w:t>
      </w:r>
    </w:p>
    <w:p w14:paraId="109D948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sz w:val="32"/>
          <w:szCs w:val="32"/>
        </w:rPr>
      </w:pPr>
      <w:r>
        <w:rPr>
          <w:rFonts w:ascii="Times New Roman" w:hAnsi="Times New Roman" w:eastAsia="仿宋_GB2312"/>
          <w:b/>
          <w:bCs/>
          <w:color w:val="000000"/>
          <w:kern w:val="0"/>
          <w:sz w:val="32"/>
          <w:szCs w:val="32"/>
          <w:lang w:bidi="ar"/>
        </w:rPr>
        <w:t>5.5果菜茶烟草药收获机械</w:t>
      </w:r>
      <w:r>
        <w:rPr>
          <w:rFonts w:ascii="Times New Roman" w:hAnsi="Times New Roman" w:eastAsia="仿宋_GB2312"/>
          <w:b/>
          <w:bCs/>
          <w:color w:val="000000"/>
          <w:sz w:val="32"/>
          <w:szCs w:val="32"/>
        </w:rPr>
        <w:tab/>
      </w:r>
    </w:p>
    <w:p w14:paraId="76A0C72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5.5.1叶类采收机</w:t>
      </w:r>
    </w:p>
    <w:p w14:paraId="15B42BF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5.5.2果类收获机</w:t>
      </w:r>
    </w:p>
    <w:p w14:paraId="171D25D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5.5.3瓜类采收机</w:t>
      </w:r>
    </w:p>
    <w:p w14:paraId="41EF7C8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5.5.4根(茎)类收获机</w:t>
      </w:r>
    </w:p>
    <w:p w14:paraId="0610BED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5.6秸秆收集处理机械</w:t>
      </w:r>
    </w:p>
    <w:p w14:paraId="18A625F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5.6.1秸秆粉碎还田机</w:t>
      </w:r>
    </w:p>
    <w:p w14:paraId="4349F55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5.7收获割台</w:t>
      </w:r>
    </w:p>
    <w:p w14:paraId="55B6559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5.7.1大豆收获专用割台</w:t>
      </w:r>
    </w:p>
    <w:p w14:paraId="566C950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5.7.2玉米收获专用割台</w:t>
      </w:r>
    </w:p>
    <w:p w14:paraId="3A2967C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6.设施种植机械</w:t>
      </w:r>
    </w:p>
    <w:p w14:paraId="4C5E408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6.1食用菌生产设备</w:t>
      </w:r>
    </w:p>
    <w:p w14:paraId="582977E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6.1.1菌料灭菌设备</w:t>
      </w:r>
    </w:p>
    <w:p w14:paraId="56A9989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6.1.2菌料装瓶（袋）机</w:t>
      </w:r>
    </w:p>
    <w:p w14:paraId="4BAEF5A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7.田间监测及作业监控设备</w:t>
      </w:r>
    </w:p>
    <w:p w14:paraId="0C8E9F3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7.1田间作业监控设备</w:t>
      </w:r>
    </w:p>
    <w:p w14:paraId="45AD6C1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7.1.1辅助驾驶（系统）设备</w:t>
      </w:r>
    </w:p>
    <w:p w14:paraId="6C72FF0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8.种植业废弃物处理设备</w:t>
      </w:r>
    </w:p>
    <w:p w14:paraId="5FA298E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8.1农田废弃物收集设备</w:t>
      </w:r>
    </w:p>
    <w:p w14:paraId="59F1AB8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8.1.1残膜回收机</w:t>
      </w:r>
    </w:p>
    <w:p w14:paraId="3210101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8.2农作物废弃物处理设备</w:t>
      </w:r>
    </w:p>
    <w:p w14:paraId="700B5EC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8.2.1生物质气化设备</w:t>
      </w:r>
    </w:p>
    <w:p w14:paraId="5E500CC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8.2.2秸秆压块（粒、棒）机</w:t>
      </w:r>
    </w:p>
    <w:p w14:paraId="3E1731C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9.饲料（草）收获加工运输设备</w:t>
      </w:r>
    </w:p>
    <w:p w14:paraId="5A903DD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9.1饲料（草）收获机械</w:t>
      </w:r>
    </w:p>
    <w:p w14:paraId="527205E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9.1.1割草（压扁）机</w:t>
      </w:r>
    </w:p>
    <w:p w14:paraId="116E869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9.1.2搂草机</w:t>
      </w:r>
    </w:p>
    <w:p w14:paraId="3E6F179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9.1.3打（压）捆机</w:t>
      </w:r>
    </w:p>
    <w:p w14:paraId="39B6E5C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9.1.4草捆包膜机</w:t>
      </w:r>
    </w:p>
    <w:p w14:paraId="7316FD4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9.1.5青（黄）饲料收获机</w:t>
      </w:r>
    </w:p>
    <w:p w14:paraId="3156DB9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9.1.6打捆包膜机</w:t>
      </w:r>
    </w:p>
    <w:p w14:paraId="6B69E13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9.2饲料（草）加工机械</w:t>
      </w:r>
    </w:p>
    <w:p w14:paraId="4A61203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9.2.1铡草机</w:t>
      </w:r>
    </w:p>
    <w:p w14:paraId="0AAC3CB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9.2.2青贮切碎机</w:t>
      </w:r>
    </w:p>
    <w:p w14:paraId="1257942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9.2.3饲料（草）粉碎机</w:t>
      </w:r>
    </w:p>
    <w:p w14:paraId="399DAC9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9.2.4颗粒饲料压制机</w:t>
      </w:r>
    </w:p>
    <w:p w14:paraId="07A408F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9.2.5饲料混合机</w:t>
      </w:r>
    </w:p>
    <w:p w14:paraId="21468DA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9.2.6饲料膨化机</w:t>
      </w:r>
    </w:p>
    <w:p w14:paraId="084B47A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9.2.7全混合日粮制备机</w:t>
      </w:r>
    </w:p>
    <w:p w14:paraId="766D6D2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9.3饲料（草）搬运机械</w:t>
      </w:r>
    </w:p>
    <w:p w14:paraId="114E4E6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9.3.1饲草捆收集机</w:t>
      </w:r>
    </w:p>
    <w:p w14:paraId="201A3F0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sz w:val="32"/>
          <w:szCs w:val="32"/>
        </w:rPr>
      </w:pPr>
      <w:r>
        <w:rPr>
          <w:rFonts w:ascii="黑体" w:hAnsi="黑体" w:eastAsia="黑体"/>
          <w:color w:val="000000"/>
          <w:kern w:val="0"/>
          <w:sz w:val="32"/>
          <w:szCs w:val="32"/>
          <w:lang w:bidi="ar"/>
        </w:rPr>
        <w:t>10.畜禽养殖机械</w:t>
      </w:r>
      <w:r>
        <w:rPr>
          <w:rFonts w:ascii="黑体" w:hAnsi="黑体" w:eastAsia="黑体"/>
          <w:color w:val="000000"/>
          <w:sz w:val="32"/>
          <w:szCs w:val="32"/>
        </w:rPr>
        <w:tab/>
      </w:r>
    </w:p>
    <w:p w14:paraId="401917B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10.1畜禽养殖成套设备</w:t>
      </w:r>
    </w:p>
    <w:p w14:paraId="1EFF7D0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10.1.1蜜蜂养殖设备</w:t>
      </w:r>
    </w:p>
    <w:p w14:paraId="4185EE5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10.2畜禽养殖消杀防疫机械</w:t>
      </w:r>
    </w:p>
    <w:p w14:paraId="6E849B1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10.2.1药浴机</w:t>
      </w:r>
    </w:p>
    <w:p w14:paraId="4FDAB64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10.3畜禽繁育设备</w:t>
      </w:r>
    </w:p>
    <w:p w14:paraId="3E0445C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10.3.1孵化机</w:t>
      </w:r>
    </w:p>
    <w:p w14:paraId="76A667A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10.4饲养设备</w:t>
      </w:r>
    </w:p>
    <w:p w14:paraId="34A4426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10.4.1喂（送）料机</w:t>
      </w:r>
    </w:p>
    <w:p w14:paraId="685785A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11.畜禽产品采集储运设备</w:t>
      </w:r>
    </w:p>
    <w:p w14:paraId="0909AE9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11.1.畜禽产品采集设备</w:t>
      </w:r>
    </w:p>
    <w:p w14:paraId="726043F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11.1.1剪毛机</w:t>
      </w:r>
    </w:p>
    <w:p w14:paraId="7B96AAE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11.1.2挤奶机</w:t>
      </w:r>
    </w:p>
    <w:p w14:paraId="1D18CA4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11.1.3生鲜乳速冷设备</w:t>
      </w:r>
    </w:p>
    <w:p w14:paraId="0EDE471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11.1.4散装乳冷藏灌</w:t>
      </w:r>
    </w:p>
    <w:p w14:paraId="3C846A7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11.2畜禽产品储运设备</w:t>
      </w:r>
    </w:p>
    <w:p w14:paraId="2AE3BE0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11.2.1储奶罐</w:t>
      </w:r>
    </w:p>
    <w:p w14:paraId="56E6293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12.畜禽养殖废弃物及病死畜禽处理设备</w:t>
      </w:r>
    </w:p>
    <w:p w14:paraId="4C6AEA7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12.1畜禽粪污资源化利用设备</w:t>
      </w:r>
    </w:p>
    <w:p w14:paraId="68EA8FA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12.1.1清粪机</w:t>
      </w:r>
    </w:p>
    <w:p w14:paraId="70F9D86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12.1.2畜禽粪污固液分离机</w:t>
      </w:r>
    </w:p>
    <w:p w14:paraId="6B00E9E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12.1.3畜禽粪便发酵处理设备</w:t>
      </w:r>
    </w:p>
    <w:p w14:paraId="60B068D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12.1.4畜禽粪便干燥设备</w:t>
      </w:r>
    </w:p>
    <w:p w14:paraId="5723D48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12.1.5畜禽粪便翻堆设备</w:t>
      </w:r>
    </w:p>
    <w:p w14:paraId="0EC6DC6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12.1.6沼液沼渣抽排设备</w:t>
      </w:r>
    </w:p>
    <w:p w14:paraId="57664B2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12.2病死畜禽储运及处理设备</w:t>
      </w:r>
    </w:p>
    <w:p w14:paraId="2095B2E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12.2.1病死畜禽处理设备</w:t>
      </w:r>
    </w:p>
    <w:p w14:paraId="73D2B70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13.水产养殖机械</w:t>
      </w:r>
    </w:p>
    <w:p w14:paraId="2AB72AC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13.1水产养殖成套设备</w:t>
      </w:r>
    </w:p>
    <w:p w14:paraId="2BFF9F5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13.1.1网箱养殖装置</w:t>
      </w:r>
    </w:p>
    <w:p w14:paraId="74D4B91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13.2投饲机械</w:t>
      </w:r>
    </w:p>
    <w:p w14:paraId="6560E2E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13.2.1投（饲）饵机</w:t>
      </w:r>
    </w:p>
    <w:p w14:paraId="142930E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13.3水质调控设备</w:t>
      </w:r>
    </w:p>
    <w:p w14:paraId="6B6D494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13.3.1增氧机</w:t>
      </w:r>
    </w:p>
    <w:p w14:paraId="46AA8B4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13.3.2水质调控监控设备</w:t>
      </w:r>
    </w:p>
    <w:p w14:paraId="158D20D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14.种子初加工机械</w:t>
      </w:r>
    </w:p>
    <w:p w14:paraId="3FC1814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14.1种子初加工机械</w:t>
      </w:r>
    </w:p>
    <w:p w14:paraId="36DB3C8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14.1.1种子清选机</w:t>
      </w:r>
    </w:p>
    <w:p w14:paraId="62BBBD9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14.1.2种子包衣机</w:t>
      </w:r>
    </w:p>
    <w:p w14:paraId="5264D18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15.粮油糖初加工机械</w:t>
      </w:r>
    </w:p>
    <w:p w14:paraId="6EA2165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15.1粮食初加工机械</w:t>
      </w:r>
    </w:p>
    <w:p w14:paraId="6B8E78F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15.1.1粮食清选机</w:t>
      </w:r>
    </w:p>
    <w:p w14:paraId="5850EF3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15.1.2谷物（粮食）干燥机（烘干机）</w:t>
      </w:r>
    </w:p>
    <w:p w14:paraId="1F62792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15.1.3碾米机</w:t>
      </w:r>
    </w:p>
    <w:p w14:paraId="1F0283C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15.1.4粮食色选机</w:t>
      </w:r>
    </w:p>
    <w:p w14:paraId="4390267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15.1.5磨粉机</w:t>
      </w:r>
    </w:p>
    <w:p w14:paraId="63AD0A2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15.1.6磨浆机</w:t>
      </w:r>
    </w:p>
    <w:p w14:paraId="0A22C81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15.2油料初加工机械</w:t>
      </w:r>
    </w:p>
    <w:p w14:paraId="35951D4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15.2.1油菜籽干燥机</w:t>
      </w:r>
    </w:p>
    <w:p w14:paraId="243DF57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15.2.2油料果（籽）脱（剥）壳机</w:t>
      </w:r>
    </w:p>
    <w:p w14:paraId="0C4930C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16.棉麻蚕初加工机械</w:t>
      </w:r>
    </w:p>
    <w:p w14:paraId="46B4142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16.1棉花初加工机械</w:t>
      </w:r>
    </w:p>
    <w:p w14:paraId="1CCAEAD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16.1.1籽棉清理机</w:t>
      </w:r>
    </w:p>
    <w:p w14:paraId="08E8DCA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16.2麻类初加工机械</w:t>
      </w:r>
    </w:p>
    <w:p w14:paraId="3246E3D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16.2.1剥（刮）麻机</w:t>
      </w:r>
    </w:p>
    <w:p w14:paraId="4FF7674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17.果菜茶初加工机械</w:t>
      </w:r>
    </w:p>
    <w:p w14:paraId="4367FC6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17.1果蔬初加工机械</w:t>
      </w:r>
    </w:p>
    <w:p w14:paraId="02357DE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17.1.1果蔬分级机</w:t>
      </w:r>
    </w:p>
    <w:p w14:paraId="4D9B47C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17.1.2果蔬清洗机</w:t>
      </w:r>
    </w:p>
    <w:p w14:paraId="3CC7D5A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17.1.3水果打蜡机</w:t>
      </w:r>
    </w:p>
    <w:p w14:paraId="420856A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17.1.4果蔬干燥机</w:t>
      </w:r>
    </w:p>
    <w:p w14:paraId="2A719A3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17.1.5 脱篷（脯）机</w:t>
      </w:r>
    </w:p>
    <w:p w14:paraId="120FEC74">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17.1.6青果（豆）脱壳机</w:t>
      </w:r>
    </w:p>
    <w:p w14:paraId="3D6247B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17.1.7干坚果脱壳机</w:t>
      </w:r>
    </w:p>
    <w:p w14:paraId="78B97B6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17.1.8果蔬去籽（核）机</w:t>
      </w:r>
    </w:p>
    <w:p w14:paraId="72BDB0B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17.1.9果蔬冷藏保鲜设备</w:t>
      </w:r>
    </w:p>
    <w:p w14:paraId="2D235D3F">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17.2茶叶初加工机械</w:t>
      </w:r>
    </w:p>
    <w:p w14:paraId="58E45B6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17.2.1茶叶做青机</w:t>
      </w:r>
    </w:p>
    <w:p w14:paraId="102918F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17.2.2茶叶杀青机</w:t>
      </w:r>
    </w:p>
    <w:p w14:paraId="1043415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17.2.3茶叶揉捻机</w:t>
      </w:r>
    </w:p>
    <w:p w14:paraId="552DB82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17.2.4茶叶压扁机</w:t>
      </w:r>
    </w:p>
    <w:p w14:paraId="6284407D">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17.2.5茶叶理条机</w:t>
      </w:r>
    </w:p>
    <w:p w14:paraId="29D9827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17.2.6茶叶炒（烘）干机</w:t>
      </w:r>
    </w:p>
    <w:p w14:paraId="73ACA45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17.2.7茶叶清选机</w:t>
      </w:r>
    </w:p>
    <w:p w14:paraId="45079FC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17.2.8茶叶色选机</w:t>
      </w:r>
    </w:p>
    <w:p w14:paraId="1F168810">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17.2.9茶叶输送机</w:t>
      </w:r>
    </w:p>
    <w:p w14:paraId="2808138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18.农用动力机械</w:t>
      </w:r>
    </w:p>
    <w:p w14:paraId="05F4C5D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18.1拖拉机</w:t>
      </w:r>
    </w:p>
    <w:p w14:paraId="7D8DC52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18.1.1轮式拖拉机</w:t>
      </w:r>
    </w:p>
    <w:p w14:paraId="22063B9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18.1.2手扶拖拉机</w:t>
      </w:r>
    </w:p>
    <w:p w14:paraId="15B574EE">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18.1.3履带式拖拉机</w:t>
      </w:r>
    </w:p>
    <w:p w14:paraId="0E622D6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sz w:val="32"/>
          <w:szCs w:val="32"/>
        </w:rPr>
      </w:pPr>
      <w:r>
        <w:rPr>
          <w:rFonts w:ascii="黑体" w:hAnsi="黑体" w:eastAsia="黑体"/>
          <w:color w:val="000000"/>
          <w:kern w:val="0"/>
          <w:sz w:val="32"/>
          <w:szCs w:val="32"/>
          <w:lang w:bidi="ar"/>
        </w:rPr>
        <w:t>19.农用搬运机械</w:t>
      </w:r>
      <w:r>
        <w:rPr>
          <w:rFonts w:ascii="黑体" w:hAnsi="黑体" w:eastAsia="黑体"/>
          <w:color w:val="000000"/>
          <w:sz w:val="32"/>
          <w:szCs w:val="32"/>
        </w:rPr>
        <w:tab/>
      </w:r>
    </w:p>
    <w:p w14:paraId="07C54FF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19.1农用运输机械</w:t>
      </w:r>
    </w:p>
    <w:p w14:paraId="3AE42E9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19.1.1田间搬运机</w:t>
      </w:r>
    </w:p>
    <w:p w14:paraId="098B254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19.1.2轨道运输机</w:t>
      </w:r>
    </w:p>
    <w:p w14:paraId="0BAAC851">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20.农用水泵</w:t>
      </w:r>
    </w:p>
    <w:p w14:paraId="41373C0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20.1农用水泵</w:t>
      </w:r>
    </w:p>
    <w:p w14:paraId="71C844B8">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20.1.1潜水电泵</w:t>
      </w:r>
    </w:p>
    <w:p w14:paraId="5122C70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20.1.地面泵（机组）</w:t>
      </w:r>
    </w:p>
    <w:p w14:paraId="727A1AD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21.设施环境控制设备</w:t>
      </w:r>
    </w:p>
    <w:p w14:paraId="1EC20B06">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21.1设施环境控制设备</w:t>
      </w:r>
    </w:p>
    <w:p w14:paraId="60488C5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21.1.1拉幕（卷帘）设备</w:t>
      </w:r>
    </w:p>
    <w:p w14:paraId="1A1F0F3B">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21.1.2加温设备</w:t>
      </w:r>
    </w:p>
    <w:p w14:paraId="0204CA2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21.1.3湿帘降温设备</w:t>
      </w:r>
    </w:p>
    <w:p w14:paraId="0497680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22.农田基本建设机械</w:t>
      </w:r>
    </w:p>
    <w:p w14:paraId="172B08D5">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22.1平地机械（限与拖拉机配套）</w:t>
      </w:r>
    </w:p>
    <w:p w14:paraId="3D249FBA">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22.1.1平地机</w:t>
      </w:r>
    </w:p>
    <w:p w14:paraId="010F94AC">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22.2清理机械</w:t>
      </w:r>
    </w:p>
    <w:p w14:paraId="2EF7D779">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22.2.1捡（清）石机</w:t>
      </w:r>
    </w:p>
    <w:p w14:paraId="7BC5F012">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黑体" w:hAnsi="黑体" w:eastAsia="黑体"/>
          <w:color w:val="000000"/>
          <w:sz w:val="32"/>
          <w:szCs w:val="32"/>
        </w:rPr>
      </w:pPr>
      <w:r>
        <w:rPr>
          <w:rFonts w:ascii="黑体" w:hAnsi="黑体" w:eastAsia="黑体"/>
          <w:color w:val="000000"/>
          <w:kern w:val="0"/>
          <w:sz w:val="32"/>
          <w:szCs w:val="32"/>
          <w:lang w:bidi="ar"/>
        </w:rPr>
        <w:t>23.其他农业机械</w:t>
      </w:r>
      <w:r>
        <w:rPr>
          <w:rFonts w:ascii="黑体" w:hAnsi="黑体" w:eastAsia="黑体"/>
          <w:color w:val="000000"/>
          <w:sz w:val="32"/>
          <w:szCs w:val="32"/>
        </w:rPr>
        <w:tab/>
      </w:r>
    </w:p>
    <w:p w14:paraId="5A06FAA7">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23.1其他农业机械</w:t>
      </w:r>
    </w:p>
    <w:p w14:paraId="5D753073">
      <w:pPr>
        <w:keepNext w:val="0"/>
        <w:keepLines w:val="0"/>
        <w:pageBreakBefore w:val="0"/>
        <w:widowControl w:val="0"/>
        <w:tabs>
          <w:tab w:val="left" w:pos="1080"/>
          <w:tab w:val="left" w:pos="2160"/>
        </w:tabs>
        <w:kinsoku/>
        <w:wordWrap/>
        <w:overflowPunct/>
        <w:topLinePunct w:val="0"/>
        <w:autoSpaceDE/>
        <w:autoSpaceDN/>
        <w:bidi w:val="0"/>
        <w:adjustRightInd/>
        <w:spacing w:line="560" w:lineRule="exact"/>
        <w:ind w:left="0" w:leftChars="0" w:right="0" w:firstLine="0" w:firstLineChars="0"/>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23.1.1水井钻机</w:t>
      </w:r>
    </w:p>
    <w:p w14:paraId="1E07CF42">
      <w:pPr>
        <w:keepNext w:val="0"/>
        <w:keepLines w:val="0"/>
        <w:pageBreakBefore w:val="0"/>
        <w:widowControl w:val="0"/>
        <w:kinsoku/>
        <w:wordWrap/>
        <w:overflowPunct/>
        <w:topLinePunct w:val="0"/>
        <w:autoSpaceDE/>
        <w:autoSpaceDN/>
        <w:bidi w:val="0"/>
        <w:adjustRightInd/>
        <w:spacing w:line="560" w:lineRule="exact"/>
        <w:ind w:left="0" w:leftChars="0" w:right="0" w:firstLine="0" w:firstLineChars="0"/>
        <w:jc w:val="both"/>
        <w:rPr>
          <w:rFonts w:ascii="Times New Roman" w:hAnsi="Times New Roman" w:eastAsia="CESI仿宋-GB2312"/>
          <w:color w:val="000000"/>
          <w:spacing w:val="-9"/>
          <w:sz w:val="32"/>
          <w:szCs w:val="32"/>
        </w:rPr>
      </w:pPr>
    </w:p>
    <w:p w14:paraId="0F3D82AD">
      <w:pPr>
        <w:keepNext w:val="0"/>
        <w:keepLines w:val="0"/>
        <w:pageBreakBefore w:val="0"/>
        <w:widowControl w:val="0"/>
        <w:kinsoku/>
        <w:wordWrap/>
        <w:overflowPunct/>
        <w:topLinePunct w:val="0"/>
        <w:autoSpaceDE/>
        <w:autoSpaceDN/>
        <w:bidi w:val="0"/>
        <w:adjustRightInd/>
        <w:spacing w:line="560" w:lineRule="exact"/>
        <w:ind w:left="0" w:leftChars="0" w:right="0" w:firstLine="0" w:firstLineChars="0"/>
        <w:jc w:val="both"/>
        <w:rPr>
          <w:rFonts w:ascii="Times New Roman" w:hAnsi="Times New Roman" w:eastAsia="CESI仿宋-GB2312"/>
          <w:color w:val="000000"/>
          <w:spacing w:val="-9"/>
          <w:sz w:val="32"/>
          <w:szCs w:val="32"/>
        </w:rPr>
      </w:pPr>
    </w:p>
    <w:p w14:paraId="18E08345">
      <w:pPr>
        <w:keepNext w:val="0"/>
        <w:keepLines w:val="0"/>
        <w:pageBreakBefore w:val="0"/>
        <w:widowControl w:val="0"/>
        <w:kinsoku/>
        <w:wordWrap/>
        <w:overflowPunct/>
        <w:topLinePunct w:val="0"/>
        <w:autoSpaceDE/>
        <w:autoSpaceDN/>
        <w:bidi w:val="0"/>
        <w:adjustRightInd/>
        <w:spacing w:line="560" w:lineRule="exact"/>
        <w:ind w:left="0" w:leftChars="0" w:right="0" w:firstLine="0" w:firstLineChars="0"/>
        <w:jc w:val="both"/>
        <w:rPr>
          <w:rFonts w:ascii="Times New Roman" w:hAnsi="Times New Roman" w:eastAsia="CESI仿宋-GB2312"/>
          <w:color w:val="000000"/>
          <w:spacing w:val="-9"/>
          <w:sz w:val="32"/>
          <w:szCs w:val="32"/>
        </w:rPr>
      </w:pPr>
    </w:p>
    <w:p w14:paraId="1E28FD2D">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0A82A96A">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639679F7">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344FAA35">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5A68FFA9">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49FADB23">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1786D0ED">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1A1718D5">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1733E7CB">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65E55C0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5C9075E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13AE4222">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p>
    <w:p w14:paraId="4D4B4C2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黑体" w:hAnsi="黑体" w:eastAsia="黑体" w:cs="Times New Roman"/>
          <w:color w:val="000000"/>
          <w:kern w:val="2"/>
          <w:sz w:val="32"/>
          <w:szCs w:val="32"/>
        </w:rPr>
      </w:pPr>
      <w:r>
        <w:rPr>
          <w:rFonts w:ascii="黑体" w:hAnsi="黑体" w:eastAsia="黑体" w:cs="Times New Roman"/>
          <w:color w:val="000000"/>
          <w:kern w:val="2"/>
          <w:sz w:val="32"/>
          <w:szCs w:val="32"/>
        </w:rPr>
        <w:t>附件2</w:t>
      </w:r>
    </w:p>
    <w:p w14:paraId="6DE5DD0F">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Times New Roman" w:hAnsi="Times New Roman" w:eastAsia="CESI仿宋-GB2312" w:cs="Times New Roman"/>
          <w:color w:val="000000"/>
          <w:kern w:val="2"/>
          <w:sz w:val="32"/>
          <w:szCs w:val="32"/>
        </w:rPr>
      </w:pPr>
    </w:p>
    <w:p w14:paraId="593816FC">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center"/>
        <w:rPr>
          <w:rFonts w:hint="eastAsia" w:ascii="方正小标宋简体" w:hAnsi="Times New Roman" w:eastAsia="方正小标宋简体" w:cs="Times New Roman"/>
          <w:bCs/>
          <w:color w:val="000000"/>
          <w:sz w:val="44"/>
          <w:szCs w:val="44"/>
          <w:lang w:bidi="ar"/>
        </w:rPr>
      </w:pPr>
      <w:r>
        <w:rPr>
          <w:rFonts w:hint="eastAsia" w:ascii="方正小标宋简体" w:hAnsi="CESI宋体-GB2312" w:eastAsia="方正小标宋简体" w:cs="Times New Roman"/>
          <w:bCs/>
          <w:color w:val="000000"/>
          <w:sz w:val="44"/>
          <w:szCs w:val="44"/>
          <w:lang w:eastAsia="zh-CN" w:bidi="ar"/>
        </w:rPr>
        <w:t>甘州区</w:t>
      </w:r>
      <w:r>
        <w:rPr>
          <w:rFonts w:hint="eastAsia" w:ascii="方正小标宋简体" w:hAnsi="CESI宋体-GB2312" w:eastAsia="方正小标宋简体" w:cs="Times New Roman"/>
          <w:bCs/>
          <w:color w:val="000000"/>
          <w:sz w:val="44"/>
          <w:szCs w:val="44"/>
          <w:lang w:bidi="ar"/>
        </w:rPr>
        <w:t>农机购置与应用补贴机具</w:t>
      </w:r>
    </w:p>
    <w:p w14:paraId="7FFF1155">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center"/>
        <w:rPr>
          <w:rFonts w:hint="eastAsia" w:ascii="方正小标宋简体" w:hAnsi="Times New Roman" w:eastAsia="方正小标宋简体" w:cs="Times New Roman"/>
          <w:bCs/>
          <w:color w:val="000000"/>
          <w:sz w:val="44"/>
          <w:szCs w:val="44"/>
          <w:lang w:bidi="ar"/>
        </w:rPr>
      </w:pPr>
      <w:r>
        <w:rPr>
          <w:rFonts w:hint="eastAsia" w:ascii="方正小标宋简体" w:hAnsi="CESI宋体-GB2312" w:eastAsia="方正小标宋简体" w:cs="Times New Roman"/>
          <w:bCs/>
          <w:color w:val="000000"/>
          <w:sz w:val="44"/>
          <w:szCs w:val="44"/>
          <w:lang w:bidi="ar"/>
        </w:rPr>
        <w:t>核验工作要点</w:t>
      </w:r>
    </w:p>
    <w:p w14:paraId="1FF32026">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Times New Roman" w:hAnsi="Times New Roman" w:eastAsia="CESI宋体-GB2312" w:cs="Times New Roman"/>
          <w:color w:val="000000"/>
          <w:sz w:val="36"/>
          <w:szCs w:val="36"/>
          <w:lang w:bidi="ar"/>
        </w:rPr>
      </w:pPr>
    </w:p>
    <w:p w14:paraId="11CBC927">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hint="eastAsia" w:ascii="仿宋_GB2312" w:hAnsi="Times New Roman" w:eastAsia="仿宋_GB2312" w:cs="Times New Roman"/>
          <w:color w:val="000000"/>
          <w:kern w:val="2"/>
          <w:sz w:val="32"/>
          <w:szCs w:val="32"/>
        </w:rPr>
      </w:pPr>
      <w:r>
        <w:rPr>
          <w:rFonts w:hint="eastAsia" w:ascii="仿宋_GB2312" w:hAnsi="CESI仿宋-GB2312" w:eastAsia="仿宋_GB2312" w:cs="Times New Roman"/>
          <w:color w:val="000000"/>
          <w:kern w:val="2"/>
          <w:sz w:val="32"/>
          <w:szCs w:val="32"/>
        </w:rPr>
        <w:t>为指导</w:t>
      </w:r>
      <w:r>
        <w:rPr>
          <w:rFonts w:hint="eastAsia" w:ascii="仿宋_GB2312" w:hAnsi="CESI仿宋-GB2312" w:eastAsia="仿宋_GB2312" w:cs="Times New Roman"/>
          <w:color w:val="000000"/>
          <w:kern w:val="2"/>
          <w:sz w:val="32"/>
          <w:szCs w:val="32"/>
          <w:lang w:eastAsia="zh-CN"/>
        </w:rPr>
        <w:t>甘州区</w:t>
      </w:r>
      <w:r>
        <w:rPr>
          <w:rFonts w:hint="eastAsia" w:ascii="仿宋_GB2312" w:hAnsi="CESI仿宋-GB2312" w:eastAsia="仿宋_GB2312" w:cs="Times New Roman"/>
          <w:color w:val="000000"/>
          <w:kern w:val="2"/>
          <w:sz w:val="32"/>
          <w:szCs w:val="32"/>
        </w:rPr>
        <w:t>各</w:t>
      </w:r>
      <w:r>
        <w:rPr>
          <w:rFonts w:hint="eastAsia" w:ascii="仿宋_GB2312" w:hAnsi="CESI仿宋-GB2312" w:eastAsia="仿宋_GB2312" w:cs="Times New Roman"/>
          <w:color w:val="000000"/>
          <w:kern w:val="2"/>
          <w:sz w:val="32"/>
          <w:szCs w:val="32"/>
          <w:lang w:eastAsia="zh-CN"/>
        </w:rPr>
        <w:t>乡镇</w:t>
      </w:r>
      <w:r>
        <w:rPr>
          <w:rFonts w:hint="eastAsia" w:ascii="仿宋_GB2312" w:hAnsi="CESI仿宋-GB2312" w:eastAsia="仿宋_GB2312" w:cs="Times New Roman"/>
          <w:color w:val="000000"/>
          <w:kern w:val="2"/>
          <w:sz w:val="32"/>
          <w:szCs w:val="32"/>
        </w:rPr>
        <w:t>做好农机购置与应用补贴机具核验工作，规范核验行为，防范管理风险，提高补贴办理效率，进一步便民利民，根据农业农村部《农机购置补贴机具核验工作要点（试行）》和我省农机购置与应用补贴政策实施相关规定，制定本工作要点如下。</w:t>
      </w:r>
    </w:p>
    <w:p w14:paraId="46B416F1">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ascii="黑体" w:hAnsi="黑体" w:eastAsia="黑体" w:cs="Times New Roman"/>
          <w:color w:val="000000"/>
          <w:kern w:val="2"/>
          <w:sz w:val="32"/>
          <w:szCs w:val="32"/>
        </w:rPr>
      </w:pPr>
      <w:r>
        <w:rPr>
          <w:rFonts w:ascii="黑体" w:hAnsi="黑体" w:eastAsia="黑体" w:cs="Times New Roman"/>
          <w:color w:val="000000"/>
          <w:kern w:val="2"/>
          <w:sz w:val="32"/>
          <w:szCs w:val="32"/>
        </w:rPr>
        <w:t>一、核验内容</w:t>
      </w:r>
    </w:p>
    <w:p w14:paraId="60EF3136">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hint="eastAsia" w:ascii="仿宋_GB2312" w:hAnsi="CESI仿宋-GB2312" w:eastAsia="仿宋_GB2312" w:cs="Times New Roman"/>
          <w:color w:val="000000"/>
          <w:kern w:val="2"/>
          <w:sz w:val="32"/>
          <w:szCs w:val="32"/>
        </w:rPr>
      </w:pPr>
      <w:r>
        <w:rPr>
          <w:rFonts w:hint="eastAsia" w:ascii="仿宋_GB2312" w:hAnsi="CESI仿宋-GB2312" w:eastAsia="仿宋_GB2312" w:cs="Times New Roman"/>
          <w:color w:val="000000"/>
          <w:kern w:val="2"/>
          <w:sz w:val="32"/>
          <w:szCs w:val="32"/>
        </w:rPr>
        <w:t>补贴机具核验是指</w:t>
      </w:r>
      <w:r>
        <w:rPr>
          <w:rFonts w:hint="eastAsia" w:ascii="仿宋_GB2312" w:hAnsi="CESI仿宋-GB2312" w:eastAsia="仿宋_GB2312" w:cs="Times New Roman"/>
          <w:color w:val="000000"/>
          <w:kern w:val="2"/>
          <w:sz w:val="32"/>
          <w:szCs w:val="32"/>
          <w:lang w:eastAsia="zh-CN"/>
        </w:rPr>
        <w:t>区</w:t>
      </w:r>
      <w:r>
        <w:rPr>
          <w:rFonts w:hint="eastAsia" w:ascii="仿宋_GB2312" w:hAnsi="CESI仿宋-GB2312" w:eastAsia="仿宋_GB2312" w:cs="Times New Roman"/>
          <w:color w:val="000000"/>
          <w:kern w:val="2"/>
          <w:sz w:val="32"/>
          <w:szCs w:val="32"/>
        </w:rPr>
        <w:t>级及以下基层农业农村部门对从事农业生产的农民和农业生产经营组织（以下简称“购机者”）申报农机购置与应用补贴时提供的相关资料进行形式审核、对机具进行核查的工作。核验的主要内容包括：</w:t>
      </w:r>
    </w:p>
    <w:p w14:paraId="75D6EFF9">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hint="eastAsia" w:ascii="仿宋_GB2312" w:hAnsi="CESI仿宋-GB2312"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（一）购机者身份信息。</w:t>
      </w:r>
      <w:r>
        <w:rPr>
          <w:rFonts w:hint="eastAsia" w:ascii="仿宋_GB2312" w:hAnsi="CESI仿宋-GB2312" w:eastAsia="仿宋_GB2312" w:cs="Times New Roman"/>
          <w:color w:val="000000"/>
          <w:kern w:val="2"/>
          <w:sz w:val="32"/>
          <w:szCs w:val="32"/>
        </w:rPr>
        <w:t>个人身份证件或农业生产经营组织工商营业执照（统一社会信用代码）及其法定代表人身份证件等信息；</w:t>
      </w:r>
    </w:p>
    <w:p w14:paraId="2697A6BD">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（二）购买信息。</w:t>
      </w:r>
      <w:r>
        <w:rPr>
          <w:rFonts w:hint="eastAsia" w:ascii="仿宋_GB2312" w:hAnsi="CESI仿宋-GB2312" w:eastAsia="仿宋_GB2312" w:cs="Times New Roman"/>
          <w:color w:val="000000"/>
          <w:kern w:val="2"/>
          <w:sz w:val="32"/>
          <w:szCs w:val="32"/>
        </w:rPr>
        <w:t>购买补贴机具发票、购机者“一卡通”社保卡账号、对公账户、开户名等信息；</w:t>
      </w:r>
    </w:p>
    <w:p w14:paraId="71B69E91">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hint="eastAsia" w:ascii="仿宋_GB2312" w:hAnsi="CESI仿宋-GB2312"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（三）机具信息。</w:t>
      </w:r>
      <w:r>
        <w:rPr>
          <w:rFonts w:hint="eastAsia" w:ascii="仿宋_GB2312" w:hAnsi="CESI仿宋-GB2312" w:eastAsia="仿宋_GB2312" w:cs="Times New Roman"/>
          <w:color w:val="000000"/>
          <w:kern w:val="2"/>
          <w:sz w:val="32"/>
          <w:szCs w:val="32"/>
        </w:rPr>
        <w:t>机具实物上的固定铭牌信息、农机购置与应用申请办理服务系统所对应机具的信息、牌证管理机具的行驶证信息等。</w:t>
      </w:r>
    </w:p>
    <w:p w14:paraId="55281ADE">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ascii="黑体" w:hAnsi="黑体" w:eastAsia="黑体" w:cs="Times New Roman"/>
          <w:color w:val="000000"/>
          <w:kern w:val="2"/>
          <w:sz w:val="32"/>
          <w:szCs w:val="32"/>
        </w:rPr>
      </w:pPr>
      <w:r>
        <w:rPr>
          <w:rFonts w:ascii="黑体" w:hAnsi="黑体" w:eastAsia="黑体" w:cs="Times New Roman"/>
          <w:color w:val="000000"/>
          <w:kern w:val="2"/>
          <w:sz w:val="32"/>
          <w:szCs w:val="32"/>
        </w:rPr>
        <w:t>二、核验程序及要求</w:t>
      </w:r>
    </w:p>
    <w:p w14:paraId="6FDEC6A6">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hint="eastAsia" w:ascii="仿宋_GB2312" w:hAnsi="CESI仿宋-GB2312"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（一）受理申请。</w:t>
      </w:r>
      <w:r>
        <w:rPr>
          <w:rFonts w:hint="eastAsia" w:ascii="仿宋_GB2312" w:hAnsi="CESI仿宋-GB2312" w:eastAsia="仿宋_GB2312" w:cs="Times New Roman"/>
          <w:color w:val="000000"/>
          <w:kern w:val="2"/>
          <w:sz w:val="32"/>
          <w:szCs w:val="32"/>
        </w:rPr>
        <w:t>对购机者自主提出的补贴申请，</w:t>
      </w:r>
      <w:r>
        <w:rPr>
          <w:rFonts w:hint="eastAsia" w:ascii="仿宋_GB2312" w:hAnsi="CESI仿宋-GB2312" w:eastAsia="仿宋_GB2312" w:cs="Times New Roman"/>
          <w:color w:val="000000"/>
          <w:kern w:val="2"/>
          <w:sz w:val="32"/>
          <w:szCs w:val="32"/>
          <w:lang w:eastAsia="zh-CN"/>
        </w:rPr>
        <w:t>区</w:t>
      </w:r>
      <w:r>
        <w:rPr>
          <w:rFonts w:hint="eastAsia" w:ascii="仿宋_GB2312" w:hAnsi="CESI仿宋-GB2312" w:eastAsia="仿宋_GB2312" w:cs="Times New Roman"/>
          <w:color w:val="000000"/>
          <w:kern w:val="2"/>
          <w:sz w:val="32"/>
          <w:szCs w:val="32"/>
        </w:rPr>
        <w:t>级农业农村部门应按规定及时受理。鼓励通过手机等信息化服务平台等便捷高效的方式受理申请。</w:t>
      </w:r>
    </w:p>
    <w:p w14:paraId="400230A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hint="eastAsia" w:ascii="仿宋_GB2312" w:hAnsi="CESI仿宋-GB2312"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（二）核验资料。</w:t>
      </w:r>
      <w:r>
        <w:rPr>
          <w:rFonts w:hint="eastAsia" w:ascii="仿宋_GB2312" w:hAnsi="CESI仿宋-GB2312" w:eastAsia="仿宋_GB2312" w:cs="Times New Roman"/>
          <w:color w:val="000000"/>
          <w:kern w:val="2"/>
          <w:sz w:val="32"/>
          <w:szCs w:val="32"/>
        </w:rPr>
        <w:t>一是购机者及其身份、购机发票等资料。购机者为个人的，重点核验购机者信息与其身份证件信息是否相符，购机发票所显示的购机者姓名与购机者身份证件所显示的姓名是否一致；购机者为农业生产经营组织的，重点核验该组织法定代表人身份证件所显示的姓名与工商营业执照所显示的法定代表人姓名是否一致，购机发票所显示的购机者名称与工商营业执照所显示的农业生产经营组织名称是否一致。二是银行卡（折）等资料。重点核验购机者填写的银行卡（折）账号、开户名等信息与其携带的银行卡（折）所显示的账号、身份证件所显示的购机者姓名、工商营业执照所显示的农业生产经营组织名称是否一致。三是购机价格真实性承诺。提示购机者确认购机发票上的购机金额与其实际全部支付给经销企业的资金是否一致，以及隐瞒不报、提供虚假信息需承担的违规责任，提示购机者对购机价格的真实性签字确认。四是政策实施要求提供的其他资料。</w:t>
      </w:r>
    </w:p>
    <w:p w14:paraId="31F1AC9B">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hint="eastAsia" w:ascii="仿宋_GB2312" w:hAnsi="CESI仿宋-GB2312"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（三）机具核验。</w:t>
      </w:r>
      <w:r>
        <w:rPr>
          <w:rFonts w:hint="eastAsia" w:ascii="仿宋_GB2312" w:hAnsi="CESI仿宋-GB2312" w:eastAsia="仿宋_GB2312" w:cs="Times New Roman"/>
          <w:color w:val="000000"/>
          <w:kern w:val="2"/>
          <w:sz w:val="32"/>
          <w:szCs w:val="32"/>
        </w:rPr>
        <w:t>一是重点机具核验。重点核验购机税控发票所显示的机具名称、生产企业、型号、发动机号（不带动力的可不核验）、出厂编号与所购实物机具铭牌显示信息是否一致，所购实物机具铭牌显示信息与农机购置与应用补贴申请办理服务系统内对应的机具信息是否一致，购机发票所显示的经销企业与农机购置与应用补贴申请办理服务系统内对应的经销信息是否一致。对牌证管理机具，免于现场实物核验，但需先办理牌证才能申办补贴，核验购机者携带的《拖拉机和联合收割机行驶证》信息与农机安全监理系统推送给申请办理服务系统的牌证信息、机具信息是否一致，购机发票所显示的经销企业与农机购置与应用补贴申请办理服务系统内对应的经销信息是否一致。二是非重点机具核验。对补贴额较低、风险可控度高的机具可采取补贴资金兑付后按比例抽查核验方式进行，抽核内容同重点机具。</w:t>
      </w:r>
    </w:p>
    <w:p w14:paraId="1F468B3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hint="eastAsia" w:ascii="仿宋_GB2312" w:hAnsi="CESI仿宋-GB2312" w:eastAsia="仿宋_GB2312" w:cs="Times New Roman"/>
          <w:color w:val="000000"/>
          <w:kern w:val="2"/>
          <w:sz w:val="32"/>
          <w:szCs w:val="32"/>
        </w:rPr>
      </w:pPr>
      <w:r>
        <w:rPr>
          <w:rFonts w:hint="eastAsia" w:ascii="仿宋_GB2312" w:hAnsi="CESI仿宋-GB2312" w:eastAsia="仿宋_GB2312" w:cs="Times New Roman"/>
          <w:color w:val="000000"/>
          <w:kern w:val="2"/>
          <w:sz w:val="32"/>
          <w:szCs w:val="32"/>
        </w:rPr>
        <w:t>重点机具包括：自走式收获机械、拖拉机等纳入牌证管理的农业机械、补贴额在5000元（含）以上的非牌证管理机具，安装类、设施类、成套设施设备、高风险机具以及当地初次出现的高补贴额机具。对重点机具须在补贴资金结算前逐台进行核验；对高风险机具，应逐台核验；对安装类、设施类、成套设施设备以及当地初次出现的高补贴额机具，在安装完成且生产应用一段时间后进行现场核验和补贴兑付。除重点机具外，其它补贴机具为非重点机具，抽查比例不低于</w:t>
      </w:r>
      <w:r>
        <w:rPr>
          <w:rFonts w:hint="eastAsia" w:ascii="仿宋_GB2312" w:hAnsi="CESI仿宋-GB2312" w:eastAsia="仿宋_GB2312" w:cs="Times New Roman"/>
          <w:color w:val="000000"/>
          <w:kern w:val="2"/>
          <w:sz w:val="32"/>
          <w:szCs w:val="32"/>
          <w:lang w:val="en-US" w:eastAsia="zh-CN"/>
        </w:rPr>
        <w:t>60</w:t>
      </w:r>
      <w:r>
        <w:rPr>
          <w:rFonts w:hint="eastAsia" w:ascii="仿宋_GB2312" w:hAnsi="CESI仿宋-GB2312" w:eastAsia="仿宋_GB2312" w:cs="Times New Roman"/>
          <w:color w:val="000000"/>
          <w:kern w:val="2"/>
          <w:sz w:val="32"/>
          <w:szCs w:val="32"/>
        </w:rPr>
        <w:t>%。</w:t>
      </w:r>
    </w:p>
    <w:p w14:paraId="09FAA0E3">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hint="eastAsia" w:ascii="仿宋_GB2312" w:hAnsi="CESI仿宋-GB2312" w:eastAsia="仿宋_GB2312" w:cs="Times New Roman"/>
          <w:color w:val="000000"/>
          <w:kern w:val="2"/>
          <w:sz w:val="32"/>
          <w:szCs w:val="32"/>
        </w:rPr>
      </w:pPr>
      <w:r>
        <w:rPr>
          <w:rFonts w:hint="eastAsia" w:ascii="仿宋_GB2312" w:hAnsi="CESI仿宋-GB2312" w:eastAsia="仿宋_GB2312" w:cs="Times New Roman"/>
          <w:color w:val="000000"/>
          <w:kern w:val="2"/>
          <w:sz w:val="32"/>
          <w:szCs w:val="32"/>
        </w:rPr>
        <w:t>鼓励探索多种核验方式，提高补贴机具核验水平，可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化、种植业、畜牧业、渔业、农产品初加工等有关方面共同参加的集体会商。加强对单一产品购置较为集中、单人多台套、短期内大批量、同一主体连年重复购置、机具适应性和购置数量与购机者生产经营服务所需不相符等异常情形的抽查核验，抽查可委托符合条件的第三方,或由专业农机人员、基层工作人员组成的核验小组。</w:t>
      </w:r>
    </w:p>
    <w:p w14:paraId="3EA2826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hint="eastAsia" w:ascii="仿宋_GB2312" w:hAnsi="CESI仿宋-GB2312" w:eastAsia="仿宋_GB2312" w:cs="Times New Roman"/>
          <w:color w:val="000000"/>
          <w:kern w:val="2"/>
          <w:sz w:val="32"/>
          <w:szCs w:val="32"/>
        </w:rPr>
      </w:pPr>
      <w:r>
        <w:rPr>
          <w:rFonts w:hint="eastAsia" w:ascii="仿宋_GB2312" w:hAnsi="CESI仿宋-GB2312" w:eastAsia="仿宋_GB2312" w:cs="Times New Roman"/>
          <w:color w:val="000000"/>
          <w:kern w:val="2"/>
          <w:sz w:val="32"/>
          <w:szCs w:val="32"/>
        </w:rPr>
        <w:t>未通过核验的，应将所发现的问题一次性告知购机者，并说明完善方法。</w:t>
      </w:r>
    </w:p>
    <w:p w14:paraId="51DB0BA3">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hint="eastAsia" w:ascii="仿宋_GB2312" w:hAnsi="CESI仿宋-GB2312" w:eastAsia="仿宋_GB2312" w:cs="Times New Roman"/>
          <w:color w:val="000000"/>
          <w:kern w:val="2"/>
          <w:sz w:val="32"/>
          <w:szCs w:val="32"/>
        </w:rPr>
      </w:pPr>
      <w:r>
        <w:rPr>
          <w:rFonts w:hint="eastAsia" w:ascii="仿宋_GB2312" w:hAnsi="CESI仿宋-GB2312" w:eastAsia="仿宋_GB2312" w:cs="Times New Roman"/>
          <w:color w:val="000000"/>
          <w:kern w:val="2"/>
          <w:sz w:val="32"/>
          <w:szCs w:val="32"/>
        </w:rPr>
        <w:t>现场核验需对购机者、补贴机具进行“人机合照”拍照存档。核验发现机具信息有疑问的，可要求产销企业提供书面说明。购机者不配合开展现场核验机具的，可不予兑付补贴资金。</w:t>
      </w:r>
    </w:p>
    <w:p w14:paraId="2EAC3BD0">
      <w:pPr>
        <w:keepNext w:val="0"/>
        <w:keepLines w:val="0"/>
        <w:pageBreakBefore w:val="0"/>
        <w:widowControl w:val="0"/>
        <w:kinsoku/>
        <w:wordWrap/>
        <w:overflowPunct/>
        <w:topLinePunct w:val="0"/>
        <w:autoSpaceDE/>
        <w:autoSpaceDN/>
        <w:bidi w:val="0"/>
        <w:adjustRightInd/>
        <w:spacing w:line="560" w:lineRule="exact"/>
        <w:ind w:left="0" w:leftChars="0" w:right="0" w:firstLine="643" w:firstLineChars="200"/>
        <w:jc w:val="both"/>
        <w:rPr>
          <w:rFonts w:hint="eastAsia" w:ascii="仿宋_GB2312" w:hAnsi="CESI仿宋-GB2312" w:eastAsia="仿宋_GB2312" w:cs="Times New Roman"/>
          <w:color w:val="000000"/>
          <w:kern w:val="2"/>
          <w:sz w:val="32"/>
          <w:szCs w:val="32"/>
          <w:lang w:val="en-US" w:eastAsia="zh-CN" w:bidi="ar-SA"/>
        </w:rPr>
      </w:pPr>
      <w:r>
        <w:rPr>
          <w:rFonts w:hint="eastAsia" w:ascii="楷体_GB2312" w:hAnsi="Times New Roman" w:eastAsia="楷体_GB2312"/>
          <w:b/>
          <w:color w:val="000000"/>
          <w:sz w:val="32"/>
          <w:szCs w:val="32"/>
        </w:rPr>
        <w:t>（四）复核登记。</w:t>
      </w:r>
      <w:r>
        <w:rPr>
          <w:rFonts w:hint="eastAsia" w:ascii="仿宋_GB2312" w:hAnsi="CESI仿宋-GB2312" w:eastAsia="仿宋_GB2312" w:cs="Times New Roman"/>
          <w:color w:val="000000"/>
          <w:kern w:val="2"/>
          <w:sz w:val="32"/>
          <w:szCs w:val="32"/>
          <w:lang w:val="en-US" w:eastAsia="zh-CN" w:bidi="ar-SA"/>
        </w:rPr>
        <w:t>对资料核验、机具核验的程序、方式和签章的规范性进行集体复核，可与集体会商同步进行，通过后登记立册。</w:t>
      </w:r>
    </w:p>
    <w:p w14:paraId="0CA3329C">
      <w:pPr>
        <w:keepNext w:val="0"/>
        <w:keepLines w:val="0"/>
        <w:pageBreakBefore w:val="0"/>
        <w:widowControl w:val="0"/>
        <w:kinsoku/>
        <w:wordWrap/>
        <w:overflowPunct/>
        <w:topLinePunct w:val="0"/>
        <w:autoSpaceDE/>
        <w:autoSpaceDN/>
        <w:bidi w:val="0"/>
        <w:adjustRightInd/>
        <w:spacing w:line="560" w:lineRule="exact"/>
        <w:ind w:left="0" w:leftChars="0" w:right="0" w:firstLine="643" w:firstLineChars="200"/>
        <w:jc w:val="both"/>
        <w:rPr>
          <w:rFonts w:hint="eastAsia" w:ascii="仿宋_GB2312" w:hAnsi="CESI仿宋-GB2312" w:eastAsia="仿宋_GB2312" w:cs="Times New Roman"/>
          <w:color w:val="000000"/>
          <w:kern w:val="2"/>
          <w:sz w:val="32"/>
          <w:szCs w:val="32"/>
          <w:lang w:val="en-US" w:eastAsia="zh-CN" w:bidi="ar-SA"/>
        </w:rPr>
      </w:pPr>
      <w:r>
        <w:rPr>
          <w:rFonts w:hint="eastAsia" w:ascii="楷体_GB2312" w:hAnsi="Times New Roman" w:eastAsia="楷体_GB2312"/>
          <w:b/>
          <w:color w:val="000000"/>
          <w:sz w:val="32"/>
          <w:szCs w:val="32"/>
        </w:rPr>
        <w:t>（五）公示报送。</w:t>
      </w:r>
      <w:r>
        <w:rPr>
          <w:rFonts w:hint="eastAsia" w:ascii="仿宋_GB2312" w:hAnsi="CESI仿宋-GB2312" w:eastAsia="仿宋_GB2312" w:cs="Times New Roman"/>
          <w:color w:val="000000"/>
          <w:kern w:val="2"/>
          <w:sz w:val="32"/>
          <w:szCs w:val="32"/>
          <w:lang w:val="en-US" w:eastAsia="zh-CN" w:bidi="ar-SA"/>
        </w:rPr>
        <w:t>对通过复核的补贴申请信息按照农机购置补贴政策有关要求进行公示，公示无异议后报送同级财政部门。</w:t>
      </w:r>
    </w:p>
    <w:p w14:paraId="2E999995">
      <w:pPr>
        <w:keepNext w:val="0"/>
        <w:keepLines w:val="0"/>
        <w:pageBreakBefore w:val="0"/>
        <w:widowControl w:val="0"/>
        <w:kinsoku/>
        <w:wordWrap/>
        <w:overflowPunct/>
        <w:topLinePunct w:val="0"/>
        <w:autoSpaceDE/>
        <w:autoSpaceDN/>
        <w:bidi w:val="0"/>
        <w:adjustRightInd/>
        <w:spacing w:line="560" w:lineRule="exact"/>
        <w:ind w:left="0" w:leftChars="0" w:right="0" w:firstLine="643" w:firstLineChars="200"/>
        <w:jc w:val="both"/>
        <w:rPr>
          <w:rFonts w:hint="eastAsia" w:ascii="仿宋_GB2312" w:hAnsi="CESI仿宋-GB2312" w:eastAsia="仿宋_GB2312" w:cs="Times New Roman"/>
          <w:color w:val="000000"/>
          <w:kern w:val="2"/>
          <w:sz w:val="32"/>
          <w:szCs w:val="32"/>
          <w:lang w:val="en-US" w:eastAsia="zh-CN" w:bidi="ar-SA"/>
        </w:rPr>
      </w:pPr>
      <w:r>
        <w:rPr>
          <w:rFonts w:hint="eastAsia" w:ascii="楷体_GB2312" w:eastAsia="楷体_GB2312"/>
          <w:b/>
          <w:sz w:val="32"/>
          <w:szCs w:val="32"/>
        </w:rPr>
        <w:t>（六）资料处理。</w:t>
      </w:r>
      <w:r>
        <w:rPr>
          <w:rFonts w:hint="eastAsia" w:ascii="仿宋_GB2312" w:hAnsi="CESI仿宋-GB2312" w:eastAsia="仿宋_GB2312" w:cs="Times New Roman"/>
          <w:color w:val="000000"/>
          <w:kern w:val="2"/>
          <w:sz w:val="32"/>
          <w:szCs w:val="32"/>
          <w:lang w:val="en-US" w:eastAsia="zh-CN" w:bidi="ar-SA"/>
        </w:rPr>
        <w:t>核验资料留存备用备查，留存期限不少于5年。</w:t>
      </w:r>
    </w:p>
    <w:p w14:paraId="124C46C8">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ascii="黑体" w:hAnsi="黑体" w:eastAsia="黑体" w:cs="Times New Roman"/>
          <w:color w:val="000000"/>
          <w:kern w:val="2"/>
          <w:sz w:val="32"/>
          <w:szCs w:val="32"/>
        </w:rPr>
      </w:pPr>
      <w:r>
        <w:rPr>
          <w:rFonts w:ascii="黑体" w:hAnsi="黑体" w:eastAsia="黑体" w:cs="Times New Roman"/>
          <w:color w:val="000000"/>
          <w:kern w:val="2"/>
          <w:sz w:val="32"/>
          <w:szCs w:val="32"/>
        </w:rPr>
        <w:t>三、监督管理</w:t>
      </w:r>
    </w:p>
    <w:p w14:paraId="5D189568">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（一）加强核验人员队伍建设。</w:t>
      </w:r>
      <w:r>
        <w:rPr>
          <w:rFonts w:hint="eastAsia" w:ascii="仿宋_GB2312" w:hAnsi="CESI仿宋-GB2312" w:eastAsia="仿宋_GB2312" w:cs="Times New Roman"/>
          <w:color w:val="000000"/>
          <w:kern w:val="2"/>
          <w:sz w:val="32"/>
          <w:szCs w:val="32"/>
          <w:lang w:val="en-US" w:eastAsia="zh-CN" w:bidi="ar-SA"/>
        </w:rPr>
        <w:t>选配责任心强、业务素质高、作风优良的干部、专业农机人员、有经验意愿的农机使用土专家和农机手从事核验工作。建立健全分管领导监督机制，有条件的可实行补贴申请受理、补贴机具核验岗位分离，明确岗位职责。</w:t>
      </w:r>
    </w:p>
    <w:p w14:paraId="43FDE17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hint="eastAsia" w:ascii="仿宋_GB2312" w:hAnsi="CESI仿宋-GB2312" w:eastAsia="仿宋_GB2312" w:cs="Times New Roman"/>
          <w:color w:val="000000"/>
          <w:kern w:val="2"/>
          <w:sz w:val="32"/>
          <w:szCs w:val="32"/>
          <w:lang w:val="en-US" w:eastAsia="zh-CN" w:bidi="ar-SA"/>
        </w:rPr>
      </w:pPr>
      <w:r>
        <w:rPr>
          <w:rFonts w:hint="eastAsia" w:ascii="楷体_GB2312" w:hAnsi="Times New Roman" w:eastAsia="楷体_GB2312" w:cs="Times New Roman"/>
          <w:b/>
          <w:color w:val="000000"/>
          <w:kern w:val="2"/>
          <w:sz w:val="32"/>
          <w:szCs w:val="32"/>
        </w:rPr>
        <w:t>（二）推行购机承诺践诺。</w:t>
      </w:r>
      <w:r>
        <w:rPr>
          <w:rFonts w:hint="eastAsia" w:ascii="仿宋_GB2312" w:hAnsi="CESI仿宋-GB2312" w:eastAsia="仿宋_GB2312" w:cs="Times New Roman"/>
          <w:color w:val="000000"/>
          <w:kern w:val="2"/>
          <w:sz w:val="32"/>
          <w:szCs w:val="32"/>
          <w:lang w:val="en-US" w:eastAsia="zh-CN" w:bidi="ar-SA"/>
        </w:rPr>
        <w:t>加强购机者补贴申请行为的自我约束和信用管理，实行补贴申请资料真实性、完整性和有效性的自主承诺，引导其规范参与补贴政策实施，主动报告所发现的问题，共同维护政策实施良好环境。</w:t>
      </w:r>
    </w:p>
    <w:p w14:paraId="414E21D0">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hint="eastAsia" w:ascii="仿宋_GB2312" w:hAnsi="CESI仿宋-GB2312" w:eastAsia="仿宋_GB2312" w:cs="Times New Roman"/>
          <w:color w:val="000000"/>
          <w:kern w:val="2"/>
          <w:sz w:val="32"/>
          <w:szCs w:val="32"/>
          <w:lang w:val="en-US" w:eastAsia="zh-CN" w:bidi="ar-SA"/>
        </w:rPr>
      </w:pPr>
      <w:r>
        <w:rPr>
          <w:rFonts w:hint="eastAsia" w:ascii="楷体_GB2312" w:hAnsi="Times New Roman" w:eastAsia="楷体_GB2312" w:cs="Times New Roman"/>
          <w:b/>
          <w:color w:val="000000"/>
          <w:kern w:val="2"/>
          <w:sz w:val="32"/>
          <w:szCs w:val="32"/>
        </w:rPr>
        <w:t>（三）全面排查违规线索。</w:t>
      </w:r>
      <w:r>
        <w:rPr>
          <w:rFonts w:hint="eastAsia" w:ascii="仿宋_GB2312" w:hAnsi="CESI仿宋-GB2312" w:eastAsia="仿宋_GB2312" w:cs="Times New Roman"/>
          <w:color w:val="000000"/>
          <w:kern w:val="2"/>
          <w:sz w:val="32"/>
          <w:szCs w:val="32"/>
          <w:lang w:val="en-US" w:eastAsia="zh-CN" w:bidi="ar-SA"/>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区级农机购置与应用补贴领导小组研究决策。</w:t>
      </w:r>
    </w:p>
    <w:p w14:paraId="5FBCC8AF">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rPr>
          <w:rFonts w:hint="eastAsia" w:ascii="仿宋_GB2312" w:hAnsi="CESI仿宋-GB2312" w:eastAsia="仿宋_GB2312" w:cs="Times New Roman"/>
          <w:color w:val="000000"/>
          <w:kern w:val="2"/>
          <w:sz w:val="32"/>
          <w:szCs w:val="32"/>
          <w:lang w:val="en-US" w:eastAsia="zh-CN" w:bidi="ar-SA"/>
        </w:rPr>
      </w:pPr>
      <w:r>
        <w:rPr>
          <w:rFonts w:hint="eastAsia" w:ascii="楷体_GB2312" w:hAnsi="Times New Roman" w:eastAsia="楷体_GB2312" w:cs="Times New Roman"/>
          <w:b/>
          <w:color w:val="000000"/>
          <w:kern w:val="2"/>
          <w:sz w:val="32"/>
          <w:szCs w:val="32"/>
        </w:rPr>
        <w:t>（四）严格监督管理。</w:t>
      </w:r>
      <w:r>
        <w:rPr>
          <w:rFonts w:hint="eastAsia" w:ascii="仿宋_GB2312" w:hAnsi="CESI仿宋-GB2312" w:eastAsia="仿宋_GB2312" w:cs="Times New Roman"/>
          <w:color w:val="000000"/>
          <w:kern w:val="2"/>
          <w:sz w:val="32"/>
          <w:szCs w:val="32"/>
          <w:lang w:val="en-US" w:eastAsia="zh-CN" w:bidi="ar-SA"/>
        </w:rPr>
        <w:t>健全内部控制制度，以机具核验流程为主线，逐项工作、逐个环节查找风险点，制定防控措施。鼓励探索开展补贴机具第三方独立抽查核验和信息化技术核验。</w:t>
      </w:r>
    </w:p>
    <w:p w14:paraId="40FF89C8">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rPr>
          <w:rFonts w:hint="eastAsia" w:ascii="仿宋_GB2312" w:hAnsi="CESI仿宋-GB2312" w:eastAsia="仿宋_GB2312" w:cs="Times New Roman"/>
          <w:color w:val="000000"/>
          <w:kern w:val="2"/>
          <w:sz w:val="32"/>
          <w:szCs w:val="32"/>
          <w:lang w:val="en-US" w:eastAsia="zh-CN" w:bidi="ar-SA"/>
        </w:rPr>
      </w:pPr>
      <w:r>
        <w:rPr>
          <w:rFonts w:hint="eastAsia" w:ascii="仿宋_GB2312" w:hAnsi="CESI仿宋-GB2312" w:eastAsia="仿宋_GB2312" w:cs="Times New Roman"/>
          <w:color w:val="000000"/>
          <w:kern w:val="2"/>
          <w:sz w:val="32"/>
          <w:szCs w:val="32"/>
          <w:lang w:val="en-US" w:eastAsia="zh-CN" w:bidi="ar-SA"/>
        </w:rPr>
        <w:t>区级农业农村部门要结合实际，参照本要点，进一步制定和细化完善具体的核验工作规范，经区级农机购置与应用补贴领导小组审核同意后公布实施，并抄报市农业农村部门。</w:t>
      </w:r>
    </w:p>
    <w:p w14:paraId="48A37788">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Times New Roman" w:hAnsi="Times New Roman" w:eastAsia="仿宋_GB2312" w:cs="Times New Roman"/>
          <w:color w:val="000000"/>
          <w:kern w:val="2"/>
          <w:sz w:val="32"/>
          <w:szCs w:val="32"/>
        </w:rPr>
      </w:pPr>
    </w:p>
    <w:p w14:paraId="4ADADD4A">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0" w:firstLineChars="0"/>
        <w:jc w:val="both"/>
        <w:rPr>
          <w:rFonts w:ascii="Times New Roman" w:hAnsi="Times New Roman" w:eastAsia="仿宋_GB2312" w:cs="Times New Roman"/>
          <w:color w:val="000000"/>
          <w:kern w:val="2"/>
          <w:sz w:val="32"/>
          <w:szCs w:val="32"/>
        </w:rPr>
      </w:pPr>
    </w:p>
    <w:p w14:paraId="5F59B0B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黑体" w:hAnsi="黑体" w:eastAsia="黑体" w:cs="CESI仿宋-GB2312"/>
          <w:color w:val="000000"/>
          <w:spacing w:val="-9"/>
          <w:sz w:val="32"/>
          <w:szCs w:val="32"/>
        </w:rPr>
      </w:pPr>
    </w:p>
    <w:p w14:paraId="72E3C6B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黑体" w:hAnsi="黑体" w:eastAsia="黑体" w:cs="CESI仿宋-GB2312"/>
          <w:color w:val="000000"/>
          <w:spacing w:val="-9"/>
          <w:sz w:val="32"/>
          <w:szCs w:val="32"/>
        </w:rPr>
      </w:pPr>
    </w:p>
    <w:p w14:paraId="0E266ED6">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黑体" w:hAnsi="黑体" w:eastAsia="黑体" w:cs="CESI仿宋-GB2312"/>
          <w:color w:val="000000"/>
          <w:spacing w:val="-9"/>
          <w:sz w:val="32"/>
          <w:szCs w:val="32"/>
        </w:rPr>
      </w:pPr>
    </w:p>
    <w:p w14:paraId="52829BA1">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黑体" w:hAnsi="黑体" w:eastAsia="黑体" w:cs="CESI仿宋-GB2312"/>
          <w:color w:val="000000"/>
          <w:spacing w:val="-9"/>
          <w:sz w:val="32"/>
          <w:szCs w:val="32"/>
          <w:lang w:val="en-US" w:eastAsia="zh-CN"/>
        </w:rPr>
      </w:pPr>
      <w:r>
        <w:rPr>
          <w:rFonts w:ascii="黑体" w:hAnsi="黑体" w:eastAsia="黑体" w:cs="CESI仿宋-GB2312"/>
          <w:color w:val="000000"/>
          <w:spacing w:val="-9"/>
          <w:sz w:val="32"/>
          <w:szCs w:val="32"/>
        </w:rPr>
        <w:t>附件</w:t>
      </w:r>
      <w:r>
        <w:rPr>
          <w:rFonts w:hint="eastAsia" w:ascii="黑体" w:hAnsi="黑体" w:eastAsia="黑体" w:cs="CESI仿宋-GB2312"/>
          <w:color w:val="000000"/>
          <w:spacing w:val="-9"/>
          <w:sz w:val="32"/>
          <w:szCs w:val="32"/>
          <w:lang w:val="en-US" w:eastAsia="zh-CN"/>
        </w:rPr>
        <w:t>3</w:t>
      </w:r>
    </w:p>
    <w:p w14:paraId="6A2DC25D">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CESI宋体-GB2312" w:hAnsi="CESI宋体-GB2312" w:eastAsia="CESI宋体-GB2312" w:cs="CESI宋体-GB2312"/>
          <w:color w:val="000000"/>
          <w:sz w:val="44"/>
          <w:szCs w:val="44"/>
        </w:rPr>
      </w:pPr>
    </w:p>
    <w:p w14:paraId="696420FF">
      <w:pPr>
        <w:keepNext w:val="0"/>
        <w:keepLines w:val="0"/>
        <w:pageBreakBefore w:val="0"/>
        <w:widowControl w:val="0"/>
        <w:kinsoku/>
        <w:wordWrap/>
        <w:overflowPunct/>
        <w:topLinePunct w:val="0"/>
        <w:autoSpaceDE/>
        <w:autoSpaceDN/>
        <w:bidi w:val="0"/>
        <w:spacing w:line="560" w:lineRule="exact"/>
        <w:ind w:left="0" w:leftChars="0" w:right="0" w:firstLine="0" w:firstLineChars="0"/>
        <w:jc w:val="center"/>
        <w:rPr>
          <w:rFonts w:hint="eastAsia" w:ascii="方正小标宋简体" w:hAnsi="CESI宋体-GB2312" w:eastAsia="方正小标宋简体" w:cs="CESI宋体-GB2312"/>
          <w:bCs/>
          <w:color w:val="000000"/>
          <w:sz w:val="44"/>
          <w:szCs w:val="44"/>
        </w:rPr>
      </w:pPr>
      <w:r>
        <w:rPr>
          <w:rFonts w:hint="eastAsia" w:ascii="方正小标宋简体" w:hAnsi="CESI宋体-GB2312" w:eastAsia="方正小标宋简体" w:cs="CESI宋体-GB2312"/>
          <w:bCs/>
          <w:color w:val="000000"/>
          <w:sz w:val="44"/>
          <w:szCs w:val="44"/>
          <w:lang w:eastAsia="zh-CN"/>
        </w:rPr>
        <w:t>甘州区</w:t>
      </w:r>
      <w:r>
        <w:rPr>
          <w:rFonts w:hint="eastAsia" w:ascii="方正小标宋简体" w:hAnsi="CESI宋体-GB2312" w:eastAsia="方正小标宋简体" w:cs="CESI宋体-GB2312"/>
          <w:bCs/>
          <w:color w:val="000000"/>
          <w:sz w:val="44"/>
          <w:szCs w:val="44"/>
        </w:rPr>
        <w:t>农机购置与应用补贴工作</w:t>
      </w:r>
    </w:p>
    <w:p w14:paraId="6C7FB476">
      <w:pPr>
        <w:keepNext w:val="0"/>
        <w:keepLines w:val="0"/>
        <w:pageBreakBefore w:val="0"/>
        <w:widowControl w:val="0"/>
        <w:kinsoku/>
        <w:wordWrap/>
        <w:overflowPunct/>
        <w:topLinePunct w:val="0"/>
        <w:autoSpaceDE/>
        <w:autoSpaceDN/>
        <w:bidi w:val="0"/>
        <w:spacing w:line="560" w:lineRule="exact"/>
        <w:ind w:left="0" w:leftChars="0" w:right="0" w:firstLine="0" w:firstLineChars="0"/>
        <w:jc w:val="center"/>
        <w:rPr>
          <w:rFonts w:hint="eastAsia" w:ascii="方正小标宋简体" w:hAnsi="CESI宋体-GB2312" w:eastAsia="方正小标宋简体" w:cs="CESI宋体-GB2312"/>
          <w:bCs/>
          <w:color w:val="000000"/>
          <w:sz w:val="44"/>
          <w:szCs w:val="44"/>
        </w:rPr>
      </w:pPr>
      <w:r>
        <w:rPr>
          <w:rFonts w:hint="eastAsia" w:ascii="方正小标宋简体" w:hAnsi="CESI宋体-GB2312" w:eastAsia="方正小标宋简体" w:cs="CESI宋体-GB2312"/>
          <w:bCs/>
          <w:color w:val="000000"/>
          <w:sz w:val="44"/>
          <w:szCs w:val="44"/>
        </w:rPr>
        <w:t>领导小组组成人员及工作职责</w:t>
      </w:r>
    </w:p>
    <w:p w14:paraId="77A6F70D">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CESI仿宋-GB2312" w:hAnsi="CESI仿宋-GB2312" w:eastAsia="CESI仿宋-GB2312" w:cs="CESI仿宋-GB2312"/>
          <w:color w:val="000000"/>
          <w:sz w:val="44"/>
          <w:szCs w:val="44"/>
        </w:rPr>
      </w:pPr>
    </w:p>
    <w:p w14:paraId="407AAB9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组  长：</w:t>
      </w:r>
      <w:r>
        <w:rPr>
          <w:rFonts w:hint="eastAsia" w:ascii="仿宋_GB2312" w:hAnsi="仿宋_GB2312" w:eastAsia="仿宋_GB2312" w:cs="仿宋_GB2312"/>
          <w:color w:val="000000"/>
          <w:sz w:val="32"/>
          <w:szCs w:val="32"/>
          <w:lang w:eastAsia="zh-CN"/>
        </w:rPr>
        <w:t>白福年</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甘州区人民政府副区长</w:t>
      </w:r>
    </w:p>
    <w:p w14:paraId="412F684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副组长：</w:t>
      </w:r>
      <w:r>
        <w:rPr>
          <w:rFonts w:hint="eastAsia" w:ascii="仿宋_GB2312" w:hAnsi="仿宋_GB2312" w:eastAsia="仿宋_GB2312" w:cs="仿宋_GB2312"/>
          <w:color w:val="000000"/>
          <w:sz w:val="32"/>
          <w:szCs w:val="32"/>
          <w:lang w:eastAsia="zh-CN"/>
        </w:rPr>
        <w:t>王</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东</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甘州区</w:t>
      </w:r>
      <w:r>
        <w:rPr>
          <w:rFonts w:hint="eastAsia" w:ascii="仿宋_GB2312" w:hAnsi="仿宋_GB2312" w:eastAsia="仿宋_GB2312" w:cs="仿宋_GB2312"/>
          <w:color w:val="000000"/>
          <w:sz w:val="32"/>
          <w:szCs w:val="32"/>
        </w:rPr>
        <w:t>农业农村</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长</w:t>
      </w:r>
    </w:p>
    <w:p w14:paraId="3055544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华</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军</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甘州区</w:t>
      </w:r>
      <w:r>
        <w:rPr>
          <w:rFonts w:hint="eastAsia" w:ascii="仿宋_GB2312" w:hAnsi="仿宋_GB2312" w:eastAsia="仿宋_GB2312" w:cs="仿宋_GB2312"/>
          <w:color w:val="000000"/>
          <w:sz w:val="32"/>
          <w:szCs w:val="32"/>
        </w:rPr>
        <w:t>财政</w:t>
      </w:r>
      <w:r>
        <w:rPr>
          <w:rFonts w:hint="eastAsia" w:ascii="仿宋_GB2312" w:hAnsi="仿宋_GB2312" w:eastAsia="仿宋_GB2312" w:cs="仿宋_GB2312"/>
          <w:color w:val="000000"/>
          <w:sz w:val="32"/>
          <w:szCs w:val="32"/>
          <w:lang w:eastAsia="zh-CN"/>
        </w:rPr>
        <w:t>局局</w:t>
      </w:r>
      <w:r>
        <w:rPr>
          <w:rFonts w:hint="eastAsia" w:ascii="仿宋_GB2312" w:hAnsi="仿宋_GB2312" w:eastAsia="仿宋_GB2312" w:cs="仿宋_GB2312"/>
          <w:color w:val="000000"/>
          <w:sz w:val="32"/>
          <w:szCs w:val="32"/>
        </w:rPr>
        <w:t>长</w:t>
      </w:r>
    </w:p>
    <w:p w14:paraId="65EE684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w:t>
      </w:r>
      <w:r>
        <w:rPr>
          <w:rFonts w:hint="eastAsia" w:ascii="仿宋_GB2312" w:hAnsi="仿宋_GB2312" w:eastAsia="仿宋_GB2312" w:cs="仿宋_GB2312"/>
          <w:color w:val="000000"/>
          <w:sz w:val="32"/>
          <w:szCs w:val="32"/>
          <w:lang w:eastAsia="zh-CN"/>
        </w:rPr>
        <w:t>化明峰</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甘州区</w:t>
      </w:r>
      <w:r>
        <w:rPr>
          <w:rFonts w:hint="eastAsia" w:ascii="仿宋_GB2312" w:hAnsi="仿宋_GB2312" w:eastAsia="仿宋_GB2312" w:cs="仿宋_GB2312"/>
          <w:color w:val="000000"/>
          <w:sz w:val="32"/>
          <w:szCs w:val="32"/>
        </w:rPr>
        <w:t>农业农村</w:t>
      </w:r>
      <w:r>
        <w:rPr>
          <w:rFonts w:hint="eastAsia" w:ascii="仿宋_GB2312" w:hAnsi="仿宋_GB2312" w:eastAsia="仿宋_GB2312" w:cs="仿宋_GB2312"/>
          <w:color w:val="000000"/>
          <w:sz w:val="32"/>
          <w:szCs w:val="32"/>
          <w:lang w:eastAsia="zh-CN"/>
        </w:rPr>
        <w:t>局副局</w:t>
      </w:r>
      <w:r>
        <w:rPr>
          <w:rFonts w:hint="eastAsia" w:ascii="仿宋_GB2312" w:hAnsi="仿宋_GB2312" w:eastAsia="仿宋_GB2312" w:cs="仿宋_GB2312"/>
          <w:color w:val="000000"/>
          <w:sz w:val="32"/>
          <w:szCs w:val="32"/>
        </w:rPr>
        <w:t>长</w:t>
      </w:r>
    </w:p>
    <w:p w14:paraId="0A780EF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姚</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涛</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甘州区</w:t>
      </w:r>
      <w:r>
        <w:rPr>
          <w:rFonts w:hint="eastAsia" w:ascii="仿宋_GB2312" w:hAnsi="仿宋_GB2312" w:eastAsia="仿宋_GB2312" w:cs="仿宋_GB2312"/>
          <w:color w:val="000000"/>
          <w:sz w:val="32"/>
          <w:szCs w:val="32"/>
        </w:rPr>
        <w:t>财政</w:t>
      </w:r>
      <w:r>
        <w:rPr>
          <w:rFonts w:hint="eastAsia" w:ascii="仿宋_GB2312" w:hAnsi="仿宋_GB2312" w:eastAsia="仿宋_GB2312" w:cs="仿宋_GB2312"/>
          <w:color w:val="000000"/>
          <w:sz w:val="32"/>
          <w:szCs w:val="32"/>
          <w:lang w:eastAsia="zh-CN"/>
        </w:rPr>
        <w:t>局副局</w:t>
      </w:r>
      <w:r>
        <w:rPr>
          <w:rFonts w:hint="eastAsia" w:ascii="仿宋_GB2312" w:hAnsi="仿宋_GB2312" w:eastAsia="仿宋_GB2312" w:cs="仿宋_GB2312"/>
          <w:color w:val="000000"/>
          <w:sz w:val="32"/>
          <w:szCs w:val="32"/>
        </w:rPr>
        <w:t>长</w:t>
      </w:r>
    </w:p>
    <w:p w14:paraId="27116D6A">
      <w:pPr>
        <w:keepNext w:val="0"/>
        <w:keepLines w:val="0"/>
        <w:pageBreakBefore w:val="0"/>
        <w:widowControl w:val="0"/>
        <w:kinsoku/>
        <w:wordWrap/>
        <w:overflowPunct/>
        <w:topLinePunct w:val="0"/>
        <w:autoSpaceDE/>
        <w:autoSpaceDN/>
        <w:bidi w:val="0"/>
        <w:adjustRightInd w:val="0"/>
        <w:snapToGrid w:val="0"/>
        <w:spacing w:line="560" w:lineRule="exact"/>
        <w:ind w:right="0" w:firstLine="1920" w:firstLineChars="6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王吉春   甘州区财政局农业农村股股长</w:t>
      </w:r>
    </w:p>
    <w:p w14:paraId="1D09A11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 段海臣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甘州区农业机械化技术推广站站长</w:t>
      </w:r>
    </w:p>
    <w:p w14:paraId="55A6728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王永海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甘州区农业农村局农机监管股股长</w:t>
      </w:r>
    </w:p>
    <w:p w14:paraId="1845AF9F">
      <w:pPr>
        <w:keepNext w:val="0"/>
        <w:keepLines w:val="0"/>
        <w:pageBreakBefore w:val="0"/>
        <w:widowControl w:val="0"/>
        <w:kinsoku/>
        <w:wordWrap/>
        <w:overflowPunct/>
        <w:topLinePunct w:val="0"/>
        <w:autoSpaceDE/>
        <w:autoSpaceDN/>
        <w:bidi w:val="0"/>
        <w:spacing w:line="560" w:lineRule="exact"/>
        <w:ind w:right="0" w:firstLine="604" w:firstLineChars="200"/>
        <w:jc w:val="both"/>
        <w:textAlignment w:val="auto"/>
        <w:rPr>
          <w:rFonts w:hint="eastAsia" w:ascii="仿宋_GB2312" w:hAnsi="仿宋_GB2312" w:eastAsia="仿宋_GB2312" w:cs="仿宋_GB2312"/>
          <w:color w:val="000000"/>
          <w:spacing w:val="-9"/>
          <w:sz w:val="32"/>
          <w:szCs w:val="32"/>
        </w:rPr>
      </w:pPr>
      <w:r>
        <w:rPr>
          <w:rFonts w:hint="eastAsia" w:ascii="仿宋_GB2312" w:hAnsi="仿宋_GB2312" w:eastAsia="仿宋_GB2312" w:cs="仿宋_GB2312"/>
          <w:color w:val="000000"/>
          <w:spacing w:val="-9"/>
          <w:sz w:val="32"/>
          <w:szCs w:val="32"/>
        </w:rPr>
        <w:t>领导小组办公室设在</w:t>
      </w:r>
      <w:r>
        <w:rPr>
          <w:rFonts w:hint="eastAsia" w:ascii="仿宋_GB2312" w:hAnsi="仿宋_GB2312" w:eastAsia="仿宋_GB2312" w:cs="仿宋_GB2312"/>
          <w:color w:val="000000"/>
          <w:spacing w:val="-9"/>
          <w:sz w:val="32"/>
          <w:szCs w:val="32"/>
          <w:lang w:eastAsia="zh-CN"/>
        </w:rPr>
        <w:t>甘州区</w:t>
      </w:r>
      <w:r>
        <w:rPr>
          <w:rFonts w:hint="eastAsia" w:ascii="仿宋_GB2312" w:hAnsi="仿宋_GB2312" w:eastAsia="仿宋_GB2312" w:cs="仿宋_GB2312"/>
          <w:color w:val="000000"/>
          <w:spacing w:val="-9"/>
          <w:sz w:val="32"/>
          <w:szCs w:val="32"/>
        </w:rPr>
        <w:t>农业农村</w:t>
      </w:r>
      <w:r>
        <w:rPr>
          <w:rFonts w:hint="eastAsia" w:ascii="仿宋_GB2312" w:hAnsi="仿宋_GB2312" w:eastAsia="仿宋_GB2312" w:cs="仿宋_GB2312"/>
          <w:color w:val="000000"/>
          <w:spacing w:val="-9"/>
          <w:sz w:val="32"/>
          <w:szCs w:val="32"/>
          <w:lang w:eastAsia="zh-CN"/>
        </w:rPr>
        <w:t>局</w:t>
      </w:r>
      <w:r>
        <w:rPr>
          <w:rFonts w:hint="eastAsia" w:ascii="仿宋_GB2312" w:hAnsi="仿宋_GB2312" w:eastAsia="仿宋_GB2312" w:cs="仿宋_GB2312"/>
          <w:color w:val="000000"/>
          <w:spacing w:val="-9"/>
          <w:sz w:val="32"/>
          <w:szCs w:val="32"/>
        </w:rPr>
        <w:t>，承担领导小组的日常工作，研究提出需领导小组决策的建议方案，督促落实领导小组议定事项，承办领导小组交办的其他事项，办公室主任由</w:t>
      </w:r>
      <w:r>
        <w:rPr>
          <w:rFonts w:hint="eastAsia" w:ascii="仿宋_GB2312" w:hAnsi="仿宋_GB2312" w:eastAsia="仿宋_GB2312" w:cs="仿宋_GB2312"/>
          <w:color w:val="000000"/>
          <w:spacing w:val="-9"/>
          <w:sz w:val="32"/>
          <w:szCs w:val="32"/>
          <w:lang w:eastAsia="zh-CN"/>
        </w:rPr>
        <w:t>甘州区</w:t>
      </w:r>
      <w:r>
        <w:rPr>
          <w:rFonts w:hint="eastAsia" w:ascii="仿宋_GB2312" w:hAnsi="仿宋_GB2312" w:eastAsia="仿宋_GB2312" w:cs="仿宋_GB2312"/>
          <w:color w:val="000000"/>
          <w:spacing w:val="-9"/>
          <w:sz w:val="32"/>
          <w:szCs w:val="32"/>
        </w:rPr>
        <w:t>农业农村</w:t>
      </w:r>
      <w:r>
        <w:rPr>
          <w:rFonts w:hint="eastAsia" w:ascii="仿宋_GB2312" w:hAnsi="仿宋_GB2312" w:eastAsia="仿宋_GB2312" w:cs="仿宋_GB2312"/>
          <w:color w:val="000000"/>
          <w:spacing w:val="-9"/>
          <w:sz w:val="32"/>
          <w:szCs w:val="32"/>
          <w:lang w:eastAsia="zh-CN"/>
        </w:rPr>
        <w:t>局</w:t>
      </w:r>
      <w:r>
        <w:rPr>
          <w:rFonts w:hint="eastAsia" w:ascii="仿宋_GB2312" w:hAnsi="仿宋_GB2312" w:eastAsia="仿宋_GB2312" w:cs="仿宋_GB2312"/>
          <w:color w:val="000000"/>
          <w:spacing w:val="-9"/>
          <w:sz w:val="32"/>
          <w:szCs w:val="32"/>
        </w:rPr>
        <w:t>副</w:t>
      </w:r>
      <w:r>
        <w:rPr>
          <w:rFonts w:hint="eastAsia" w:ascii="仿宋_GB2312" w:hAnsi="仿宋_GB2312" w:eastAsia="仿宋_GB2312" w:cs="仿宋_GB2312"/>
          <w:color w:val="000000"/>
          <w:spacing w:val="-9"/>
          <w:sz w:val="32"/>
          <w:szCs w:val="32"/>
          <w:lang w:eastAsia="zh-CN"/>
        </w:rPr>
        <w:t>局</w:t>
      </w:r>
      <w:r>
        <w:rPr>
          <w:rFonts w:hint="eastAsia" w:ascii="仿宋_GB2312" w:hAnsi="仿宋_GB2312" w:eastAsia="仿宋_GB2312" w:cs="仿宋_GB2312"/>
          <w:color w:val="000000"/>
          <w:spacing w:val="-9"/>
          <w:sz w:val="32"/>
          <w:szCs w:val="32"/>
        </w:rPr>
        <w:t>长</w:t>
      </w:r>
      <w:r>
        <w:rPr>
          <w:rFonts w:hint="eastAsia" w:ascii="仿宋_GB2312" w:hAnsi="仿宋_GB2312" w:eastAsia="仿宋_GB2312" w:cs="仿宋_GB2312"/>
          <w:color w:val="000000"/>
          <w:spacing w:val="-9"/>
          <w:sz w:val="32"/>
          <w:szCs w:val="32"/>
          <w:lang w:eastAsia="zh-CN"/>
        </w:rPr>
        <w:t>化明峰</w:t>
      </w:r>
      <w:r>
        <w:rPr>
          <w:rFonts w:hint="eastAsia" w:ascii="仿宋_GB2312" w:hAnsi="仿宋_GB2312" w:eastAsia="仿宋_GB2312" w:cs="仿宋_GB2312"/>
          <w:color w:val="000000"/>
          <w:spacing w:val="-9"/>
          <w:sz w:val="32"/>
          <w:szCs w:val="32"/>
        </w:rPr>
        <w:t>兼任，</w:t>
      </w:r>
      <w:r>
        <w:rPr>
          <w:rFonts w:hint="eastAsia" w:ascii="仿宋_GB2312" w:hAnsi="仿宋_GB2312" w:eastAsia="仿宋_GB2312" w:cs="仿宋_GB2312"/>
          <w:color w:val="000000"/>
          <w:spacing w:val="-9"/>
          <w:sz w:val="32"/>
          <w:szCs w:val="32"/>
          <w:lang w:eastAsia="zh-CN"/>
        </w:rPr>
        <w:t>甘州区农业机械化技术推广站</w:t>
      </w:r>
      <w:r>
        <w:rPr>
          <w:rFonts w:hint="eastAsia" w:ascii="仿宋_GB2312" w:hAnsi="仿宋_GB2312" w:eastAsia="仿宋_GB2312" w:cs="仿宋_GB2312"/>
          <w:color w:val="000000"/>
          <w:spacing w:val="-9"/>
          <w:sz w:val="32"/>
          <w:szCs w:val="32"/>
        </w:rPr>
        <w:t>具体负责日常工作。</w:t>
      </w:r>
    </w:p>
    <w:p w14:paraId="4FBF9968">
      <w:pPr>
        <w:keepNext w:val="0"/>
        <w:keepLines w:val="0"/>
        <w:pageBreakBefore w:val="0"/>
        <w:widowControl w:val="0"/>
        <w:kinsoku/>
        <w:wordWrap/>
        <w:overflowPunct/>
        <w:topLinePunct w:val="0"/>
        <w:autoSpaceDE/>
        <w:autoSpaceDN/>
        <w:bidi w:val="0"/>
        <w:spacing w:line="560" w:lineRule="exact"/>
        <w:ind w:right="0" w:firstLine="604" w:firstLineChars="200"/>
        <w:jc w:val="both"/>
        <w:textAlignment w:val="auto"/>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NumType w:fmt="decimal" w:start="1"/>
          <w:cols w:space="425" w:num="1"/>
          <w:rtlGutter w:val="0"/>
          <w:docGrid w:type="lines" w:linePitch="312" w:charSpace="0"/>
        </w:sectPr>
      </w:pPr>
      <w:r>
        <w:rPr>
          <w:rFonts w:hint="eastAsia" w:ascii="仿宋_GB2312" w:hAnsi="仿宋_GB2312" w:eastAsia="仿宋_GB2312" w:cs="仿宋_GB2312"/>
          <w:color w:val="000000"/>
          <w:spacing w:val="-9"/>
          <w:sz w:val="32"/>
          <w:szCs w:val="32"/>
        </w:rPr>
        <w:t>领导小组成员因工作变动需要调整的，由</w:t>
      </w:r>
      <w:r>
        <w:rPr>
          <w:rFonts w:hint="eastAsia" w:ascii="仿宋_GB2312" w:hAnsi="仿宋_GB2312" w:eastAsia="仿宋_GB2312" w:cs="仿宋_GB2312"/>
          <w:color w:val="000000"/>
          <w:spacing w:val="-9"/>
          <w:sz w:val="32"/>
          <w:szCs w:val="32"/>
          <w:lang w:eastAsia="zh-CN"/>
        </w:rPr>
        <w:t>相应岗位人员自行替补</w:t>
      </w:r>
      <w:r>
        <w:rPr>
          <w:rFonts w:hint="eastAsia" w:ascii="仿宋_GB2312" w:hAnsi="仿宋_GB2312" w:eastAsia="仿宋_GB2312" w:cs="仿宋_GB2312"/>
          <w:color w:val="000000"/>
          <w:spacing w:val="-9"/>
          <w:sz w:val="32"/>
          <w:szCs w:val="32"/>
        </w:rPr>
        <w:t>。</w:t>
      </w:r>
    </w:p>
    <w:p w14:paraId="16B8AA6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黑体" w:hAnsi="黑体" w:eastAsia="黑体" w:cs="CESI仿宋-GB2312"/>
          <w:color w:val="000000"/>
          <w:sz w:val="32"/>
          <w:szCs w:val="32"/>
        </w:rPr>
      </w:pPr>
    </w:p>
    <w:p w14:paraId="1761AA68">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黑体" w:hAnsi="黑体" w:eastAsia="黑体" w:cs="CESI仿宋-GB2312"/>
          <w:color w:val="000000"/>
          <w:sz w:val="32"/>
          <w:szCs w:val="32"/>
        </w:rPr>
      </w:pPr>
      <w:r>
        <w:rPr>
          <w:rFonts w:hint="eastAsia" w:ascii="黑体" w:hAnsi="黑体" w:eastAsia="黑体" w:cs="CESI仿宋-GB2312"/>
          <w:color w:val="000000"/>
          <w:sz w:val="32"/>
          <w:szCs w:val="32"/>
        </w:rPr>
        <w:t>附件4</w:t>
      </w:r>
    </w:p>
    <w:p w14:paraId="3F68B854">
      <w:pPr>
        <w:keepNext w:val="0"/>
        <w:keepLines w:val="0"/>
        <w:pageBreakBefore w:val="0"/>
        <w:widowControl w:val="0"/>
        <w:kinsoku/>
        <w:wordWrap/>
        <w:overflowPunct/>
        <w:topLinePunct w:val="0"/>
        <w:autoSpaceDE/>
        <w:autoSpaceDN/>
        <w:bidi w:val="0"/>
        <w:spacing w:line="560" w:lineRule="exact"/>
        <w:ind w:left="0" w:leftChars="0" w:right="0" w:firstLine="0" w:firstLineChars="0"/>
        <w:jc w:val="center"/>
        <w:rPr>
          <w:rFonts w:hint="eastAsia" w:ascii="方正小标宋简体" w:hAnsi="CESI宋体-GB2312" w:eastAsia="方正小标宋简体" w:cs="CESI宋体-GB2312"/>
          <w:bCs/>
          <w:color w:val="000000"/>
          <w:sz w:val="36"/>
          <w:szCs w:val="36"/>
        </w:rPr>
      </w:pPr>
      <w:r>
        <w:rPr>
          <w:rFonts w:hint="eastAsia" w:ascii="方正小标宋简体" w:hAnsi="CESI宋体-GB2312" w:eastAsia="方正小标宋简体" w:cs="CESI宋体-GB2312"/>
          <w:bCs/>
          <w:color w:val="000000"/>
          <w:sz w:val="36"/>
          <w:szCs w:val="36"/>
        </w:rPr>
        <w:t>甘州区农机购置与应用补贴机具核验表</w:t>
      </w:r>
    </w:p>
    <w:p w14:paraId="6DD6171D">
      <w:pPr>
        <w:pStyle w:val="2"/>
        <w:keepNext w:val="0"/>
        <w:keepLines w:val="0"/>
        <w:pageBreakBefore w:val="0"/>
        <w:widowControl w:val="0"/>
        <w:kinsoku/>
        <w:wordWrap/>
        <w:overflowPunct/>
        <w:topLinePunct w:val="0"/>
        <w:autoSpaceDE/>
        <w:autoSpaceDN/>
        <w:bidi w:val="0"/>
        <w:spacing w:before="0" w:after="0" w:line="560" w:lineRule="exact"/>
        <w:ind w:left="0" w:leftChars="0" w:right="0" w:firstLine="0" w:firstLineChars="0"/>
        <w:jc w:val="both"/>
        <w:rPr>
          <w:rFonts w:hint="eastAsia" w:ascii="方正小标宋简体" w:hAnsi="CESI宋体-GB2312" w:eastAsia="方正小标宋简体" w:cs="CESI宋体-GB2312"/>
          <w:bCs/>
          <w:color w:val="000000"/>
          <w:sz w:val="36"/>
          <w:szCs w:val="36"/>
        </w:rPr>
      </w:pPr>
    </w:p>
    <w:p w14:paraId="233763F6">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rPr>
      </w:pPr>
      <w:r>
        <w:rPr>
          <w:rFonts w:ascii="CESI仿宋-GB2312" w:hAnsi="CESI仿宋-GB2312"/>
          <w:color w:val="000000"/>
          <w:sz w:val="28"/>
          <w:szCs w:val="28"/>
        </w:rPr>
        <w:t>核验单</w:t>
      </w:r>
      <w:r>
        <w:rPr>
          <w:rFonts w:hint="eastAsia" w:ascii="CESI仿宋-GB2312" w:hAnsi="CESI仿宋-GB2312"/>
          <w:color w:val="000000"/>
          <w:sz w:val="28"/>
          <w:szCs w:val="28"/>
          <w:lang w:eastAsia="zh-CN"/>
        </w:rPr>
        <w:t>位：</w:t>
      </w:r>
    </w:p>
    <w:tbl>
      <w:tblPr>
        <w:tblStyle w:val="11"/>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944"/>
        <w:gridCol w:w="1222"/>
        <w:gridCol w:w="1201"/>
        <w:gridCol w:w="1201"/>
        <w:gridCol w:w="1158"/>
        <w:gridCol w:w="1244"/>
        <w:gridCol w:w="1061"/>
        <w:gridCol w:w="827"/>
        <w:gridCol w:w="1331"/>
        <w:gridCol w:w="1243"/>
        <w:gridCol w:w="1227"/>
      </w:tblGrid>
      <w:tr w14:paraId="6C53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Merge w:val="restart"/>
            <w:tcBorders>
              <w:top w:val="single" w:color="auto" w:sz="4" w:space="0"/>
              <w:left w:val="single" w:color="auto" w:sz="4" w:space="0"/>
              <w:bottom w:val="single" w:color="auto" w:sz="4" w:space="0"/>
              <w:right w:val="single" w:color="auto" w:sz="4" w:space="0"/>
            </w:tcBorders>
            <w:vAlign w:val="center"/>
          </w:tcPr>
          <w:p w14:paraId="177ECFED">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序号</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1802BD4A">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购机者</w:t>
            </w:r>
          </w:p>
        </w:tc>
        <w:tc>
          <w:tcPr>
            <w:tcW w:w="1222" w:type="dxa"/>
            <w:vMerge w:val="restart"/>
            <w:tcBorders>
              <w:top w:val="single" w:color="auto" w:sz="4" w:space="0"/>
              <w:left w:val="single" w:color="auto" w:sz="4" w:space="0"/>
              <w:bottom w:val="single" w:color="auto" w:sz="4" w:space="0"/>
              <w:right w:val="single" w:color="auto" w:sz="4" w:space="0"/>
            </w:tcBorders>
            <w:vAlign w:val="center"/>
          </w:tcPr>
          <w:p w14:paraId="74E0E338">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联系方式</w:t>
            </w:r>
          </w:p>
        </w:tc>
        <w:tc>
          <w:tcPr>
            <w:tcW w:w="1201" w:type="dxa"/>
            <w:vMerge w:val="restart"/>
            <w:tcBorders>
              <w:top w:val="single" w:color="auto" w:sz="4" w:space="0"/>
              <w:left w:val="single" w:color="auto" w:sz="4" w:space="0"/>
              <w:bottom w:val="single" w:color="auto" w:sz="4" w:space="0"/>
              <w:right w:val="single" w:color="auto" w:sz="4" w:space="0"/>
            </w:tcBorders>
            <w:vAlign w:val="center"/>
          </w:tcPr>
          <w:p w14:paraId="64A9C032">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品目名称</w:t>
            </w:r>
          </w:p>
        </w:tc>
        <w:tc>
          <w:tcPr>
            <w:tcW w:w="1201" w:type="dxa"/>
            <w:vMerge w:val="restart"/>
            <w:tcBorders>
              <w:top w:val="single" w:color="auto" w:sz="4" w:space="0"/>
              <w:left w:val="single" w:color="auto" w:sz="4" w:space="0"/>
              <w:bottom w:val="single" w:color="auto" w:sz="4" w:space="0"/>
              <w:right w:val="single" w:color="auto" w:sz="4" w:space="0"/>
            </w:tcBorders>
            <w:vAlign w:val="center"/>
          </w:tcPr>
          <w:p w14:paraId="4C355CC2">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机具型号</w:t>
            </w:r>
          </w:p>
        </w:tc>
        <w:tc>
          <w:tcPr>
            <w:tcW w:w="1158" w:type="dxa"/>
            <w:vMerge w:val="restart"/>
            <w:tcBorders>
              <w:top w:val="single" w:color="auto" w:sz="4" w:space="0"/>
              <w:left w:val="single" w:color="auto" w:sz="4" w:space="0"/>
              <w:bottom w:val="single" w:color="auto" w:sz="4" w:space="0"/>
              <w:right w:val="single" w:color="auto" w:sz="4" w:space="0"/>
            </w:tcBorders>
            <w:vAlign w:val="center"/>
          </w:tcPr>
          <w:p w14:paraId="01010B14">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机具识别号码</w:t>
            </w:r>
          </w:p>
        </w:tc>
        <w:tc>
          <w:tcPr>
            <w:tcW w:w="1244" w:type="dxa"/>
            <w:vMerge w:val="restart"/>
            <w:tcBorders>
              <w:top w:val="single" w:color="auto" w:sz="4" w:space="0"/>
              <w:left w:val="single" w:color="auto" w:sz="4" w:space="0"/>
              <w:bottom w:val="single" w:color="auto" w:sz="4" w:space="0"/>
              <w:right w:val="single" w:color="auto" w:sz="4" w:space="0"/>
            </w:tcBorders>
            <w:vAlign w:val="center"/>
          </w:tcPr>
          <w:p w14:paraId="7EA91FB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生产企业</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14:paraId="242184A7">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购买日期</w:t>
            </w:r>
          </w:p>
        </w:tc>
        <w:tc>
          <w:tcPr>
            <w:tcW w:w="2158" w:type="dxa"/>
            <w:gridSpan w:val="2"/>
            <w:tcBorders>
              <w:top w:val="single" w:color="auto" w:sz="4" w:space="0"/>
              <w:left w:val="single" w:color="auto" w:sz="4" w:space="0"/>
              <w:bottom w:val="single" w:color="auto" w:sz="4" w:space="0"/>
              <w:right w:val="single" w:color="auto" w:sz="4" w:space="0"/>
            </w:tcBorders>
            <w:vAlign w:val="center"/>
          </w:tcPr>
          <w:p w14:paraId="433D9613">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是否牌证管理机具</w:t>
            </w:r>
          </w:p>
        </w:tc>
        <w:tc>
          <w:tcPr>
            <w:tcW w:w="1243" w:type="dxa"/>
            <w:vMerge w:val="restart"/>
            <w:tcBorders>
              <w:top w:val="single" w:color="auto" w:sz="4" w:space="0"/>
              <w:left w:val="single" w:color="auto" w:sz="4" w:space="0"/>
              <w:bottom w:val="single" w:color="auto" w:sz="4" w:space="0"/>
              <w:right w:val="single" w:color="auto" w:sz="4" w:space="0"/>
            </w:tcBorders>
            <w:vAlign w:val="center"/>
          </w:tcPr>
          <w:p w14:paraId="2F2A73A7">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是否属实</w:t>
            </w:r>
          </w:p>
        </w:tc>
        <w:tc>
          <w:tcPr>
            <w:tcW w:w="1227" w:type="dxa"/>
            <w:vMerge w:val="restart"/>
            <w:tcBorders>
              <w:top w:val="single" w:color="auto" w:sz="4" w:space="0"/>
              <w:left w:val="single" w:color="auto" w:sz="4" w:space="0"/>
              <w:bottom w:val="single" w:color="auto" w:sz="4" w:space="0"/>
              <w:right w:val="single" w:color="auto" w:sz="4" w:space="0"/>
            </w:tcBorders>
            <w:vAlign w:val="center"/>
          </w:tcPr>
          <w:p w14:paraId="5FFA5C18">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核验人员</w:t>
            </w:r>
          </w:p>
        </w:tc>
      </w:tr>
      <w:tr w14:paraId="45D9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Merge w:val="continue"/>
            <w:tcBorders>
              <w:top w:val="single" w:color="auto" w:sz="4" w:space="0"/>
              <w:left w:val="single" w:color="auto" w:sz="4" w:space="0"/>
              <w:bottom w:val="single" w:color="auto" w:sz="4" w:space="0"/>
              <w:right w:val="single" w:color="auto" w:sz="4" w:space="0"/>
            </w:tcBorders>
            <w:vAlign w:val="center"/>
          </w:tcPr>
          <w:p w14:paraId="1E0A329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7B620AE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735625C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vMerge w:val="continue"/>
            <w:tcBorders>
              <w:top w:val="single" w:color="auto" w:sz="4" w:space="0"/>
              <w:left w:val="single" w:color="auto" w:sz="4" w:space="0"/>
              <w:bottom w:val="single" w:color="auto" w:sz="4" w:space="0"/>
              <w:right w:val="single" w:color="auto" w:sz="4" w:space="0"/>
            </w:tcBorders>
            <w:vAlign w:val="center"/>
          </w:tcPr>
          <w:p w14:paraId="193AC2DA">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vMerge w:val="continue"/>
            <w:tcBorders>
              <w:top w:val="single" w:color="auto" w:sz="4" w:space="0"/>
              <w:left w:val="single" w:color="auto" w:sz="4" w:space="0"/>
              <w:bottom w:val="single" w:color="auto" w:sz="4" w:space="0"/>
              <w:right w:val="single" w:color="auto" w:sz="4" w:space="0"/>
            </w:tcBorders>
            <w:vAlign w:val="center"/>
          </w:tcPr>
          <w:p w14:paraId="66E665DE">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158" w:type="dxa"/>
            <w:vMerge w:val="continue"/>
            <w:tcBorders>
              <w:top w:val="single" w:color="auto" w:sz="4" w:space="0"/>
              <w:left w:val="single" w:color="auto" w:sz="4" w:space="0"/>
              <w:bottom w:val="single" w:color="auto" w:sz="4" w:space="0"/>
              <w:right w:val="single" w:color="auto" w:sz="4" w:space="0"/>
            </w:tcBorders>
            <w:vAlign w:val="center"/>
          </w:tcPr>
          <w:p w14:paraId="01F3227A">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4" w:type="dxa"/>
            <w:vMerge w:val="continue"/>
            <w:tcBorders>
              <w:top w:val="single" w:color="auto" w:sz="4" w:space="0"/>
              <w:left w:val="single" w:color="auto" w:sz="4" w:space="0"/>
              <w:bottom w:val="single" w:color="auto" w:sz="4" w:space="0"/>
              <w:right w:val="single" w:color="auto" w:sz="4" w:space="0"/>
            </w:tcBorders>
            <w:vAlign w:val="center"/>
          </w:tcPr>
          <w:p w14:paraId="0194DD1D">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5CE7E805">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14:paraId="6B23DAF9">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是（否）</w:t>
            </w:r>
          </w:p>
        </w:tc>
        <w:tc>
          <w:tcPr>
            <w:tcW w:w="1331" w:type="dxa"/>
            <w:tcBorders>
              <w:top w:val="single" w:color="auto" w:sz="4" w:space="0"/>
              <w:left w:val="single" w:color="auto" w:sz="4" w:space="0"/>
              <w:bottom w:val="single" w:color="auto" w:sz="4" w:space="0"/>
              <w:right w:val="single" w:color="auto" w:sz="4" w:space="0"/>
            </w:tcBorders>
            <w:vAlign w:val="center"/>
          </w:tcPr>
          <w:p w14:paraId="2A428453">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r>
              <w:rPr>
                <w:rFonts w:ascii="CESI仿宋-GB2312" w:hAnsi="CESI仿宋-GB2312"/>
                <w:color w:val="000000"/>
                <w:kern w:val="0"/>
                <w:sz w:val="20"/>
              </w:rPr>
              <w:t>牌证号码</w:t>
            </w: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2826B6E5">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14:paraId="3EFE04C7">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r>
      <w:tr w14:paraId="7301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2" w:type="dxa"/>
            <w:tcBorders>
              <w:top w:val="single" w:color="auto" w:sz="4" w:space="0"/>
              <w:left w:val="single" w:color="auto" w:sz="4" w:space="0"/>
              <w:bottom w:val="single" w:color="auto" w:sz="4" w:space="0"/>
              <w:right w:val="single" w:color="auto" w:sz="4" w:space="0"/>
            </w:tcBorders>
          </w:tcPr>
          <w:p w14:paraId="48928BD1">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944" w:type="dxa"/>
            <w:tcBorders>
              <w:top w:val="single" w:color="auto" w:sz="4" w:space="0"/>
              <w:left w:val="single" w:color="auto" w:sz="4" w:space="0"/>
              <w:bottom w:val="single" w:color="auto" w:sz="4" w:space="0"/>
              <w:right w:val="single" w:color="auto" w:sz="4" w:space="0"/>
            </w:tcBorders>
          </w:tcPr>
          <w:p w14:paraId="20E72851">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2" w:type="dxa"/>
            <w:tcBorders>
              <w:top w:val="single" w:color="auto" w:sz="4" w:space="0"/>
              <w:left w:val="single" w:color="auto" w:sz="4" w:space="0"/>
              <w:bottom w:val="single" w:color="auto" w:sz="4" w:space="0"/>
              <w:right w:val="single" w:color="auto" w:sz="4" w:space="0"/>
            </w:tcBorders>
          </w:tcPr>
          <w:p w14:paraId="6AC99DB6">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78DB4137">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1E746775">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158" w:type="dxa"/>
            <w:tcBorders>
              <w:top w:val="single" w:color="auto" w:sz="4" w:space="0"/>
              <w:left w:val="single" w:color="auto" w:sz="4" w:space="0"/>
              <w:bottom w:val="single" w:color="auto" w:sz="4" w:space="0"/>
              <w:right w:val="single" w:color="auto" w:sz="4" w:space="0"/>
            </w:tcBorders>
          </w:tcPr>
          <w:p w14:paraId="4BD514E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4" w:type="dxa"/>
            <w:tcBorders>
              <w:top w:val="single" w:color="auto" w:sz="4" w:space="0"/>
              <w:left w:val="single" w:color="auto" w:sz="4" w:space="0"/>
              <w:bottom w:val="single" w:color="auto" w:sz="4" w:space="0"/>
              <w:right w:val="single" w:color="auto" w:sz="4" w:space="0"/>
            </w:tcBorders>
          </w:tcPr>
          <w:p w14:paraId="0F3D5096">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061" w:type="dxa"/>
            <w:tcBorders>
              <w:top w:val="single" w:color="auto" w:sz="4" w:space="0"/>
              <w:left w:val="single" w:color="auto" w:sz="4" w:space="0"/>
              <w:bottom w:val="single" w:color="auto" w:sz="4" w:space="0"/>
              <w:right w:val="single" w:color="auto" w:sz="4" w:space="0"/>
            </w:tcBorders>
          </w:tcPr>
          <w:p w14:paraId="25E890A9">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827" w:type="dxa"/>
            <w:tcBorders>
              <w:top w:val="single" w:color="auto" w:sz="4" w:space="0"/>
              <w:left w:val="single" w:color="auto" w:sz="4" w:space="0"/>
              <w:bottom w:val="single" w:color="auto" w:sz="4" w:space="0"/>
              <w:right w:val="single" w:color="auto" w:sz="4" w:space="0"/>
            </w:tcBorders>
          </w:tcPr>
          <w:p w14:paraId="6225D3CE">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331" w:type="dxa"/>
            <w:tcBorders>
              <w:top w:val="single" w:color="auto" w:sz="4" w:space="0"/>
              <w:left w:val="single" w:color="auto" w:sz="4" w:space="0"/>
              <w:bottom w:val="single" w:color="auto" w:sz="4" w:space="0"/>
              <w:right w:val="single" w:color="auto" w:sz="4" w:space="0"/>
            </w:tcBorders>
          </w:tcPr>
          <w:p w14:paraId="79514DAC">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3" w:type="dxa"/>
            <w:tcBorders>
              <w:top w:val="single" w:color="auto" w:sz="4" w:space="0"/>
              <w:left w:val="single" w:color="auto" w:sz="4" w:space="0"/>
              <w:bottom w:val="single" w:color="auto" w:sz="4" w:space="0"/>
              <w:right w:val="single" w:color="auto" w:sz="4" w:space="0"/>
            </w:tcBorders>
          </w:tcPr>
          <w:p w14:paraId="4F1FDA7E">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7" w:type="dxa"/>
            <w:tcBorders>
              <w:top w:val="single" w:color="auto" w:sz="4" w:space="0"/>
              <w:left w:val="single" w:color="auto" w:sz="4" w:space="0"/>
              <w:bottom w:val="single" w:color="auto" w:sz="4" w:space="0"/>
              <w:right w:val="single" w:color="auto" w:sz="4" w:space="0"/>
            </w:tcBorders>
          </w:tcPr>
          <w:p w14:paraId="31AE55F4">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r>
      <w:tr w14:paraId="3FE5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2" w:type="dxa"/>
            <w:tcBorders>
              <w:top w:val="single" w:color="auto" w:sz="4" w:space="0"/>
              <w:left w:val="single" w:color="auto" w:sz="4" w:space="0"/>
              <w:bottom w:val="single" w:color="auto" w:sz="4" w:space="0"/>
              <w:right w:val="single" w:color="auto" w:sz="4" w:space="0"/>
            </w:tcBorders>
          </w:tcPr>
          <w:p w14:paraId="01F9DAF6">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944" w:type="dxa"/>
            <w:tcBorders>
              <w:top w:val="single" w:color="auto" w:sz="4" w:space="0"/>
              <w:left w:val="single" w:color="auto" w:sz="4" w:space="0"/>
              <w:bottom w:val="single" w:color="auto" w:sz="4" w:space="0"/>
              <w:right w:val="single" w:color="auto" w:sz="4" w:space="0"/>
            </w:tcBorders>
          </w:tcPr>
          <w:p w14:paraId="031ACA5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2" w:type="dxa"/>
            <w:tcBorders>
              <w:top w:val="single" w:color="auto" w:sz="4" w:space="0"/>
              <w:left w:val="single" w:color="auto" w:sz="4" w:space="0"/>
              <w:bottom w:val="single" w:color="auto" w:sz="4" w:space="0"/>
              <w:right w:val="single" w:color="auto" w:sz="4" w:space="0"/>
            </w:tcBorders>
          </w:tcPr>
          <w:p w14:paraId="6EC447C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60CCCB58">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31F3B1EC">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158" w:type="dxa"/>
            <w:tcBorders>
              <w:top w:val="single" w:color="auto" w:sz="4" w:space="0"/>
              <w:left w:val="single" w:color="auto" w:sz="4" w:space="0"/>
              <w:bottom w:val="single" w:color="auto" w:sz="4" w:space="0"/>
              <w:right w:val="single" w:color="auto" w:sz="4" w:space="0"/>
            </w:tcBorders>
          </w:tcPr>
          <w:p w14:paraId="5C6174C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4" w:type="dxa"/>
            <w:tcBorders>
              <w:top w:val="single" w:color="auto" w:sz="4" w:space="0"/>
              <w:left w:val="single" w:color="auto" w:sz="4" w:space="0"/>
              <w:bottom w:val="single" w:color="auto" w:sz="4" w:space="0"/>
              <w:right w:val="single" w:color="auto" w:sz="4" w:space="0"/>
            </w:tcBorders>
          </w:tcPr>
          <w:p w14:paraId="6D392217">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061" w:type="dxa"/>
            <w:tcBorders>
              <w:top w:val="single" w:color="auto" w:sz="4" w:space="0"/>
              <w:left w:val="single" w:color="auto" w:sz="4" w:space="0"/>
              <w:bottom w:val="single" w:color="auto" w:sz="4" w:space="0"/>
              <w:right w:val="single" w:color="auto" w:sz="4" w:space="0"/>
            </w:tcBorders>
          </w:tcPr>
          <w:p w14:paraId="3AFD2A6F">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827" w:type="dxa"/>
            <w:tcBorders>
              <w:top w:val="single" w:color="auto" w:sz="4" w:space="0"/>
              <w:left w:val="single" w:color="auto" w:sz="4" w:space="0"/>
              <w:bottom w:val="single" w:color="auto" w:sz="4" w:space="0"/>
              <w:right w:val="single" w:color="auto" w:sz="4" w:space="0"/>
            </w:tcBorders>
          </w:tcPr>
          <w:p w14:paraId="445C29A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331" w:type="dxa"/>
            <w:tcBorders>
              <w:top w:val="single" w:color="auto" w:sz="4" w:space="0"/>
              <w:left w:val="single" w:color="auto" w:sz="4" w:space="0"/>
              <w:bottom w:val="single" w:color="auto" w:sz="4" w:space="0"/>
              <w:right w:val="single" w:color="auto" w:sz="4" w:space="0"/>
            </w:tcBorders>
          </w:tcPr>
          <w:p w14:paraId="47889C0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3" w:type="dxa"/>
            <w:tcBorders>
              <w:top w:val="single" w:color="auto" w:sz="4" w:space="0"/>
              <w:left w:val="single" w:color="auto" w:sz="4" w:space="0"/>
              <w:bottom w:val="single" w:color="auto" w:sz="4" w:space="0"/>
              <w:right w:val="single" w:color="auto" w:sz="4" w:space="0"/>
            </w:tcBorders>
          </w:tcPr>
          <w:p w14:paraId="2695DF79">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7" w:type="dxa"/>
            <w:tcBorders>
              <w:top w:val="single" w:color="auto" w:sz="4" w:space="0"/>
              <w:left w:val="single" w:color="auto" w:sz="4" w:space="0"/>
              <w:bottom w:val="single" w:color="auto" w:sz="4" w:space="0"/>
              <w:right w:val="single" w:color="auto" w:sz="4" w:space="0"/>
            </w:tcBorders>
          </w:tcPr>
          <w:p w14:paraId="766AA026">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r>
      <w:tr w14:paraId="474B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2" w:type="dxa"/>
            <w:tcBorders>
              <w:top w:val="single" w:color="auto" w:sz="4" w:space="0"/>
              <w:left w:val="single" w:color="auto" w:sz="4" w:space="0"/>
              <w:bottom w:val="single" w:color="auto" w:sz="4" w:space="0"/>
              <w:right w:val="single" w:color="auto" w:sz="4" w:space="0"/>
            </w:tcBorders>
          </w:tcPr>
          <w:p w14:paraId="5ADB753A">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944" w:type="dxa"/>
            <w:tcBorders>
              <w:top w:val="single" w:color="auto" w:sz="4" w:space="0"/>
              <w:left w:val="single" w:color="auto" w:sz="4" w:space="0"/>
              <w:bottom w:val="single" w:color="auto" w:sz="4" w:space="0"/>
              <w:right w:val="single" w:color="auto" w:sz="4" w:space="0"/>
            </w:tcBorders>
          </w:tcPr>
          <w:p w14:paraId="6071D3B1">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2" w:type="dxa"/>
            <w:tcBorders>
              <w:top w:val="single" w:color="auto" w:sz="4" w:space="0"/>
              <w:left w:val="single" w:color="auto" w:sz="4" w:space="0"/>
              <w:bottom w:val="single" w:color="auto" w:sz="4" w:space="0"/>
              <w:right w:val="single" w:color="auto" w:sz="4" w:space="0"/>
            </w:tcBorders>
          </w:tcPr>
          <w:p w14:paraId="73A1621E">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7D71BF2F">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0E892936">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158" w:type="dxa"/>
            <w:tcBorders>
              <w:top w:val="single" w:color="auto" w:sz="4" w:space="0"/>
              <w:left w:val="single" w:color="auto" w:sz="4" w:space="0"/>
              <w:bottom w:val="single" w:color="auto" w:sz="4" w:space="0"/>
              <w:right w:val="single" w:color="auto" w:sz="4" w:space="0"/>
            </w:tcBorders>
          </w:tcPr>
          <w:p w14:paraId="01F1016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4" w:type="dxa"/>
            <w:tcBorders>
              <w:top w:val="single" w:color="auto" w:sz="4" w:space="0"/>
              <w:left w:val="single" w:color="auto" w:sz="4" w:space="0"/>
              <w:bottom w:val="single" w:color="auto" w:sz="4" w:space="0"/>
              <w:right w:val="single" w:color="auto" w:sz="4" w:space="0"/>
            </w:tcBorders>
          </w:tcPr>
          <w:p w14:paraId="171B5D81">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061" w:type="dxa"/>
            <w:tcBorders>
              <w:top w:val="single" w:color="auto" w:sz="4" w:space="0"/>
              <w:left w:val="single" w:color="auto" w:sz="4" w:space="0"/>
              <w:bottom w:val="single" w:color="auto" w:sz="4" w:space="0"/>
              <w:right w:val="single" w:color="auto" w:sz="4" w:space="0"/>
            </w:tcBorders>
          </w:tcPr>
          <w:p w14:paraId="4A654AD4">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827" w:type="dxa"/>
            <w:tcBorders>
              <w:top w:val="single" w:color="auto" w:sz="4" w:space="0"/>
              <w:left w:val="single" w:color="auto" w:sz="4" w:space="0"/>
              <w:bottom w:val="single" w:color="auto" w:sz="4" w:space="0"/>
              <w:right w:val="single" w:color="auto" w:sz="4" w:space="0"/>
            </w:tcBorders>
          </w:tcPr>
          <w:p w14:paraId="110F4F01">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331" w:type="dxa"/>
            <w:tcBorders>
              <w:top w:val="single" w:color="auto" w:sz="4" w:space="0"/>
              <w:left w:val="single" w:color="auto" w:sz="4" w:space="0"/>
              <w:bottom w:val="single" w:color="auto" w:sz="4" w:space="0"/>
              <w:right w:val="single" w:color="auto" w:sz="4" w:space="0"/>
            </w:tcBorders>
          </w:tcPr>
          <w:p w14:paraId="5B5AB46D">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3" w:type="dxa"/>
            <w:tcBorders>
              <w:top w:val="single" w:color="auto" w:sz="4" w:space="0"/>
              <w:left w:val="single" w:color="auto" w:sz="4" w:space="0"/>
              <w:bottom w:val="single" w:color="auto" w:sz="4" w:space="0"/>
              <w:right w:val="single" w:color="auto" w:sz="4" w:space="0"/>
            </w:tcBorders>
          </w:tcPr>
          <w:p w14:paraId="3B2F0C85">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7" w:type="dxa"/>
            <w:tcBorders>
              <w:top w:val="single" w:color="auto" w:sz="4" w:space="0"/>
              <w:left w:val="single" w:color="auto" w:sz="4" w:space="0"/>
              <w:bottom w:val="single" w:color="auto" w:sz="4" w:space="0"/>
              <w:right w:val="single" w:color="auto" w:sz="4" w:space="0"/>
            </w:tcBorders>
          </w:tcPr>
          <w:p w14:paraId="74572829">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r>
      <w:tr w14:paraId="51E6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2" w:type="dxa"/>
            <w:tcBorders>
              <w:top w:val="single" w:color="auto" w:sz="4" w:space="0"/>
              <w:left w:val="single" w:color="auto" w:sz="4" w:space="0"/>
              <w:bottom w:val="single" w:color="auto" w:sz="4" w:space="0"/>
              <w:right w:val="single" w:color="auto" w:sz="4" w:space="0"/>
            </w:tcBorders>
          </w:tcPr>
          <w:p w14:paraId="2994AFF2">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944" w:type="dxa"/>
            <w:tcBorders>
              <w:top w:val="single" w:color="auto" w:sz="4" w:space="0"/>
              <w:left w:val="single" w:color="auto" w:sz="4" w:space="0"/>
              <w:bottom w:val="single" w:color="auto" w:sz="4" w:space="0"/>
              <w:right w:val="single" w:color="auto" w:sz="4" w:space="0"/>
            </w:tcBorders>
          </w:tcPr>
          <w:p w14:paraId="3F8FE324">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2" w:type="dxa"/>
            <w:tcBorders>
              <w:top w:val="single" w:color="auto" w:sz="4" w:space="0"/>
              <w:left w:val="single" w:color="auto" w:sz="4" w:space="0"/>
              <w:bottom w:val="single" w:color="auto" w:sz="4" w:space="0"/>
              <w:right w:val="single" w:color="auto" w:sz="4" w:space="0"/>
            </w:tcBorders>
          </w:tcPr>
          <w:p w14:paraId="06BF0738">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325ECE27">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6278D87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158" w:type="dxa"/>
            <w:tcBorders>
              <w:top w:val="single" w:color="auto" w:sz="4" w:space="0"/>
              <w:left w:val="single" w:color="auto" w:sz="4" w:space="0"/>
              <w:bottom w:val="single" w:color="auto" w:sz="4" w:space="0"/>
              <w:right w:val="single" w:color="auto" w:sz="4" w:space="0"/>
            </w:tcBorders>
          </w:tcPr>
          <w:p w14:paraId="4D9E7072">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4" w:type="dxa"/>
            <w:tcBorders>
              <w:top w:val="single" w:color="auto" w:sz="4" w:space="0"/>
              <w:left w:val="single" w:color="auto" w:sz="4" w:space="0"/>
              <w:bottom w:val="single" w:color="auto" w:sz="4" w:space="0"/>
              <w:right w:val="single" w:color="auto" w:sz="4" w:space="0"/>
            </w:tcBorders>
          </w:tcPr>
          <w:p w14:paraId="383F0352">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061" w:type="dxa"/>
            <w:tcBorders>
              <w:top w:val="single" w:color="auto" w:sz="4" w:space="0"/>
              <w:left w:val="single" w:color="auto" w:sz="4" w:space="0"/>
              <w:bottom w:val="single" w:color="auto" w:sz="4" w:space="0"/>
              <w:right w:val="single" w:color="auto" w:sz="4" w:space="0"/>
            </w:tcBorders>
          </w:tcPr>
          <w:p w14:paraId="176F3291">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827" w:type="dxa"/>
            <w:tcBorders>
              <w:top w:val="single" w:color="auto" w:sz="4" w:space="0"/>
              <w:left w:val="single" w:color="auto" w:sz="4" w:space="0"/>
              <w:bottom w:val="single" w:color="auto" w:sz="4" w:space="0"/>
              <w:right w:val="single" w:color="auto" w:sz="4" w:space="0"/>
            </w:tcBorders>
          </w:tcPr>
          <w:p w14:paraId="60B6265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331" w:type="dxa"/>
            <w:tcBorders>
              <w:top w:val="single" w:color="auto" w:sz="4" w:space="0"/>
              <w:left w:val="single" w:color="auto" w:sz="4" w:space="0"/>
              <w:bottom w:val="single" w:color="auto" w:sz="4" w:space="0"/>
              <w:right w:val="single" w:color="auto" w:sz="4" w:space="0"/>
            </w:tcBorders>
          </w:tcPr>
          <w:p w14:paraId="59EB66AE">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3" w:type="dxa"/>
            <w:tcBorders>
              <w:top w:val="single" w:color="auto" w:sz="4" w:space="0"/>
              <w:left w:val="single" w:color="auto" w:sz="4" w:space="0"/>
              <w:bottom w:val="single" w:color="auto" w:sz="4" w:space="0"/>
              <w:right w:val="single" w:color="auto" w:sz="4" w:space="0"/>
            </w:tcBorders>
          </w:tcPr>
          <w:p w14:paraId="78CB7D2C">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7" w:type="dxa"/>
            <w:tcBorders>
              <w:top w:val="single" w:color="auto" w:sz="4" w:space="0"/>
              <w:left w:val="single" w:color="auto" w:sz="4" w:space="0"/>
              <w:bottom w:val="single" w:color="auto" w:sz="4" w:space="0"/>
              <w:right w:val="single" w:color="auto" w:sz="4" w:space="0"/>
            </w:tcBorders>
          </w:tcPr>
          <w:p w14:paraId="4E1A9D0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r>
      <w:tr w14:paraId="28E6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52" w:type="dxa"/>
            <w:tcBorders>
              <w:top w:val="single" w:color="auto" w:sz="4" w:space="0"/>
              <w:left w:val="single" w:color="auto" w:sz="4" w:space="0"/>
              <w:bottom w:val="single" w:color="auto" w:sz="4" w:space="0"/>
              <w:right w:val="single" w:color="auto" w:sz="4" w:space="0"/>
            </w:tcBorders>
          </w:tcPr>
          <w:p w14:paraId="34059181">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944" w:type="dxa"/>
            <w:tcBorders>
              <w:top w:val="single" w:color="auto" w:sz="4" w:space="0"/>
              <w:left w:val="single" w:color="auto" w:sz="4" w:space="0"/>
              <w:bottom w:val="single" w:color="auto" w:sz="4" w:space="0"/>
              <w:right w:val="single" w:color="auto" w:sz="4" w:space="0"/>
            </w:tcBorders>
          </w:tcPr>
          <w:p w14:paraId="380CCA74">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2" w:type="dxa"/>
            <w:tcBorders>
              <w:top w:val="single" w:color="auto" w:sz="4" w:space="0"/>
              <w:left w:val="single" w:color="auto" w:sz="4" w:space="0"/>
              <w:bottom w:val="single" w:color="auto" w:sz="4" w:space="0"/>
              <w:right w:val="single" w:color="auto" w:sz="4" w:space="0"/>
            </w:tcBorders>
          </w:tcPr>
          <w:p w14:paraId="342FF5A4">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31352659">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01" w:type="dxa"/>
            <w:tcBorders>
              <w:top w:val="single" w:color="auto" w:sz="4" w:space="0"/>
              <w:left w:val="single" w:color="auto" w:sz="4" w:space="0"/>
              <w:bottom w:val="single" w:color="auto" w:sz="4" w:space="0"/>
              <w:right w:val="single" w:color="auto" w:sz="4" w:space="0"/>
            </w:tcBorders>
          </w:tcPr>
          <w:p w14:paraId="09E2BC17">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158" w:type="dxa"/>
            <w:tcBorders>
              <w:top w:val="single" w:color="auto" w:sz="4" w:space="0"/>
              <w:left w:val="single" w:color="auto" w:sz="4" w:space="0"/>
              <w:bottom w:val="single" w:color="auto" w:sz="4" w:space="0"/>
              <w:right w:val="single" w:color="auto" w:sz="4" w:space="0"/>
            </w:tcBorders>
          </w:tcPr>
          <w:p w14:paraId="66837DAF">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4" w:type="dxa"/>
            <w:tcBorders>
              <w:top w:val="single" w:color="auto" w:sz="4" w:space="0"/>
              <w:left w:val="single" w:color="auto" w:sz="4" w:space="0"/>
              <w:bottom w:val="single" w:color="auto" w:sz="4" w:space="0"/>
              <w:right w:val="single" w:color="auto" w:sz="4" w:space="0"/>
            </w:tcBorders>
          </w:tcPr>
          <w:p w14:paraId="05ABFA7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061" w:type="dxa"/>
            <w:tcBorders>
              <w:top w:val="single" w:color="auto" w:sz="4" w:space="0"/>
              <w:left w:val="single" w:color="auto" w:sz="4" w:space="0"/>
              <w:bottom w:val="single" w:color="auto" w:sz="4" w:space="0"/>
              <w:right w:val="single" w:color="auto" w:sz="4" w:space="0"/>
            </w:tcBorders>
          </w:tcPr>
          <w:p w14:paraId="3397F62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827" w:type="dxa"/>
            <w:tcBorders>
              <w:top w:val="single" w:color="auto" w:sz="4" w:space="0"/>
              <w:left w:val="single" w:color="auto" w:sz="4" w:space="0"/>
              <w:bottom w:val="single" w:color="auto" w:sz="4" w:space="0"/>
              <w:right w:val="single" w:color="auto" w:sz="4" w:space="0"/>
            </w:tcBorders>
          </w:tcPr>
          <w:p w14:paraId="1AA3065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331" w:type="dxa"/>
            <w:tcBorders>
              <w:top w:val="single" w:color="auto" w:sz="4" w:space="0"/>
              <w:left w:val="single" w:color="auto" w:sz="4" w:space="0"/>
              <w:bottom w:val="single" w:color="auto" w:sz="4" w:space="0"/>
              <w:right w:val="single" w:color="auto" w:sz="4" w:space="0"/>
            </w:tcBorders>
          </w:tcPr>
          <w:p w14:paraId="07EAAE4C">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43" w:type="dxa"/>
            <w:tcBorders>
              <w:top w:val="single" w:color="auto" w:sz="4" w:space="0"/>
              <w:left w:val="single" w:color="auto" w:sz="4" w:space="0"/>
              <w:bottom w:val="single" w:color="auto" w:sz="4" w:space="0"/>
              <w:right w:val="single" w:color="auto" w:sz="4" w:space="0"/>
            </w:tcBorders>
          </w:tcPr>
          <w:p w14:paraId="34B07B3C">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c>
          <w:tcPr>
            <w:tcW w:w="1227" w:type="dxa"/>
            <w:tcBorders>
              <w:top w:val="single" w:color="auto" w:sz="4" w:space="0"/>
              <w:left w:val="single" w:color="auto" w:sz="4" w:space="0"/>
              <w:bottom w:val="single" w:color="auto" w:sz="4" w:space="0"/>
              <w:right w:val="single" w:color="auto" w:sz="4" w:space="0"/>
            </w:tcBorders>
          </w:tcPr>
          <w:p w14:paraId="1F701992">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CESI仿宋-GB2312" w:hAnsi="CESI仿宋-GB2312"/>
                <w:color w:val="000000"/>
                <w:kern w:val="2"/>
                <w:sz w:val="21"/>
              </w:rPr>
            </w:pPr>
          </w:p>
        </w:tc>
      </w:tr>
    </w:tbl>
    <w:p w14:paraId="3F3D7093">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hint="eastAsia" w:ascii="CESI仿宋-GB2312" w:hAnsi="CESI仿宋-GB2312" w:eastAsia="仿宋_GB2312"/>
          <w:color w:val="000000"/>
          <w:sz w:val="28"/>
          <w:szCs w:val="28"/>
          <w:lang w:eastAsia="zh-CN"/>
        </w:rPr>
        <w:sectPr>
          <w:pgSz w:w="15840" w:h="12240" w:orient="landscape"/>
          <w:pgMar w:top="2098" w:right="1474" w:bottom="1984" w:left="1587" w:header="720" w:footer="720" w:gutter="0"/>
          <w:pgNumType w:fmt="decimal"/>
          <w:cols w:space="720" w:num="1"/>
          <w:rtlGutter w:val="0"/>
          <w:docGrid w:linePitch="286" w:charSpace="0"/>
        </w:sectPr>
      </w:pPr>
    </w:p>
    <w:p w14:paraId="5721B357">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32B2F35C">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4A856B1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211BDC02">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62A0332A">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2D6BAA4E">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73DE658B">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6F5B04B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5B471685">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52AE023F">
      <w:pPr>
        <w:pStyle w:val="2"/>
        <w:rPr>
          <w:rFonts w:ascii="仿宋_GB2312" w:hAnsi="宋体" w:eastAsia="仿宋_GB2312"/>
          <w:sz w:val="32"/>
          <w:szCs w:val="32"/>
        </w:rPr>
      </w:pPr>
    </w:p>
    <w:p w14:paraId="139604DA">
      <w:pPr>
        <w:rPr>
          <w:rFonts w:ascii="仿宋_GB2312" w:hAnsi="宋体" w:eastAsia="仿宋_GB2312"/>
          <w:sz w:val="32"/>
          <w:szCs w:val="32"/>
        </w:rPr>
      </w:pPr>
    </w:p>
    <w:p w14:paraId="5434B929">
      <w:pPr>
        <w:pStyle w:val="2"/>
        <w:rPr>
          <w:rFonts w:ascii="仿宋_GB2312" w:hAnsi="宋体" w:eastAsia="仿宋_GB2312"/>
          <w:sz w:val="32"/>
          <w:szCs w:val="32"/>
        </w:rPr>
      </w:pPr>
    </w:p>
    <w:p w14:paraId="53581F7C">
      <w:pPr>
        <w:rPr>
          <w:rFonts w:ascii="仿宋_GB2312" w:hAnsi="宋体" w:eastAsia="仿宋_GB2312"/>
          <w:sz w:val="32"/>
          <w:szCs w:val="32"/>
        </w:rPr>
      </w:pPr>
    </w:p>
    <w:p w14:paraId="60B9AEEC">
      <w:pPr>
        <w:pStyle w:val="2"/>
        <w:rPr>
          <w:rFonts w:ascii="仿宋_GB2312" w:hAnsi="宋体" w:eastAsia="仿宋_GB2312"/>
          <w:sz w:val="32"/>
          <w:szCs w:val="32"/>
        </w:rPr>
      </w:pPr>
    </w:p>
    <w:p w14:paraId="5A9CA871">
      <w:pPr>
        <w:rPr>
          <w:rFonts w:ascii="仿宋_GB2312" w:hAnsi="宋体" w:eastAsia="仿宋_GB2312"/>
          <w:sz w:val="32"/>
          <w:szCs w:val="32"/>
        </w:rPr>
      </w:pPr>
    </w:p>
    <w:p w14:paraId="07A43E4D">
      <w:pPr>
        <w:pStyle w:val="2"/>
      </w:pPr>
    </w:p>
    <w:p w14:paraId="65F1E7C0">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749A7C2F">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rPr>
          <w:rFonts w:ascii="仿宋_GB2312" w:hAnsi="宋体" w:eastAsia="仿宋_GB2312"/>
          <w:sz w:val="32"/>
          <w:szCs w:val="32"/>
        </w:rPr>
      </w:pPr>
    </w:p>
    <w:p w14:paraId="75859BD2">
      <w:pPr>
        <w:keepNext w:val="0"/>
        <w:keepLines w:val="0"/>
        <w:pageBreakBefore w:val="0"/>
        <w:widowControl w:val="0"/>
        <w:kinsoku/>
        <w:wordWrap/>
        <w:overflowPunct/>
        <w:topLinePunct w:val="0"/>
        <w:autoSpaceDE/>
        <w:autoSpaceDN/>
        <w:bidi w:val="0"/>
        <w:spacing w:line="560" w:lineRule="exact"/>
        <w:ind w:left="0" w:leftChars="0" w:right="0" w:firstLine="274" w:firstLineChars="100"/>
        <w:jc w:val="both"/>
        <w:rPr>
          <w:rFonts w:ascii="仿宋_GB2312" w:eastAsia="仿宋_GB2312"/>
          <w:sz w:val="32"/>
          <w:szCs w:val="32"/>
        </w:rPr>
      </w:pPr>
      <w:r>
        <w:rPr>
          <w:spacing w:val="-23"/>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35560</wp:posOffset>
                </wp:positionV>
                <wp:extent cx="5600700" cy="17780"/>
                <wp:effectExtent l="0" t="4445" r="7620" b="8255"/>
                <wp:wrapNone/>
                <wp:docPr id="1" name="直线 4"/>
                <wp:cNvGraphicFramePr/>
                <a:graphic xmlns:a="http://schemas.openxmlformats.org/drawingml/2006/main">
                  <a:graphicData uri="http://schemas.microsoft.com/office/word/2010/wordprocessingShape">
                    <wps:wsp>
                      <wps:cNvCnPr/>
                      <wps:spPr>
                        <a:xfrm flipV="1">
                          <a:off x="0" y="0"/>
                          <a:ext cx="5600700"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pt;margin-top:2.8pt;height:1.4pt;width:441pt;z-index:251660288;mso-width-relative:page;mso-height-relative:page;" filled="f" stroked="t" coordsize="21600,21600" o:gfxdata="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sCN+0wAAAAQBAAAPAAAAAAAAAAEAIAAAACIAAABkcnMvZG93bnJldi54bWxQSwECFAAUAAAA&#10;CACHTuJAov7MsvMBAADpAwAADgAAAAAAAAABACAAAAAiAQAAZHJzL2Uyb0RvYy54bWxQSwUGAAAA&#10;AAYABgBZAQAAhwUAAAAA&#10;">
                <v:fill on="f" focussize="0,0"/>
                <v:stroke color="#000000" joinstyle="round"/>
                <v:imagedata o:title=""/>
                <o:lock v:ext="edit" aspectratio="f"/>
              </v:line>
            </w:pict>
          </mc:Fallback>
        </mc:AlternateContent>
      </w:r>
      <w:r>
        <w:rPr>
          <w:spacing w:val="-23"/>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304800</wp:posOffset>
                </wp:positionV>
                <wp:extent cx="5600700" cy="25400"/>
                <wp:effectExtent l="0" t="4445" r="7620" b="15875"/>
                <wp:wrapNone/>
                <wp:docPr id="2" name="直线 5"/>
                <wp:cNvGraphicFramePr/>
                <a:graphic xmlns:a="http://schemas.openxmlformats.org/drawingml/2006/main">
                  <a:graphicData uri="http://schemas.microsoft.com/office/word/2010/wordprocessingShape">
                    <wps:wsp>
                      <wps:cNvCnPr/>
                      <wps:spPr>
                        <a:xfrm flipV="1">
                          <a:off x="0" y="0"/>
                          <a:ext cx="5600700" cy="254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0pt;margin-top:24pt;height:2pt;width:441pt;z-index:251661312;mso-width-relative:page;mso-height-relative:page;" filled="f" stroked="t" coordsize="21600,21600" o:gfxdata="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eUBctQAAAAGAQAADwAAAAAAAAABACAAAAAiAAAAZHJzL2Rvd25yZXYueG1sUEsBAhQAFAAAAAgA&#10;h07iQFVF6nPwAQAA6QMAAA4AAAAAAAAAAQAgAAAAIwEAAGRycy9lMm9Eb2MueG1sUEsFBgAAAAAG&#10;AAYAWQEAAIUFAAAAAA==&#10;">
                <v:fill on="f" focussize="0,0"/>
                <v:stroke color="#000000" joinstyle="round"/>
                <v:imagedata o:title=""/>
                <o:lock v:ext="edit" aspectratio="f"/>
              </v:line>
            </w:pict>
          </mc:Fallback>
        </mc:AlternateContent>
      </w:r>
      <w:r>
        <w:rPr>
          <w:rFonts w:hint="eastAsia" w:ascii="仿宋_GB2312" w:eastAsia="仿宋_GB2312"/>
          <w:spacing w:val="-23"/>
          <w:sz w:val="32"/>
          <w:szCs w:val="32"/>
        </w:rPr>
        <w:t>甘州区农业</w:t>
      </w:r>
      <w:r>
        <w:rPr>
          <w:rFonts w:hint="eastAsia" w:ascii="仿宋_GB2312" w:eastAsia="仿宋_GB2312"/>
          <w:spacing w:val="-23"/>
          <w:sz w:val="32"/>
          <w:szCs w:val="32"/>
          <w:lang w:eastAsia="zh-CN"/>
        </w:rPr>
        <w:t>农村局办公室</w:t>
      </w:r>
      <w:r>
        <w:rPr>
          <w:rFonts w:hint="eastAsia" w:ascii="仿宋_GB2312" w:eastAsia="仿宋_GB2312"/>
          <w:spacing w:val="-23"/>
          <w:sz w:val="32"/>
          <w:szCs w:val="32"/>
          <w:lang w:val="en-US" w:eastAsia="zh-CN"/>
        </w:rPr>
        <w:t xml:space="preserve">                   </w:t>
      </w:r>
      <w:r>
        <w:rPr>
          <w:rFonts w:hint="eastAsia" w:ascii="仿宋_GB2312" w:eastAsia="仿宋_GB2312"/>
          <w:spacing w:val="-23"/>
          <w:sz w:val="32"/>
          <w:szCs w:val="32"/>
        </w:rPr>
        <w:t>202</w:t>
      </w:r>
      <w:r>
        <w:rPr>
          <w:rFonts w:hint="eastAsia" w:ascii="仿宋_GB2312" w:eastAsia="仿宋_GB2312"/>
          <w:spacing w:val="-23"/>
          <w:sz w:val="32"/>
          <w:szCs w:val="32"/>
          <w:lang w:val="en-US" w:eastAsia="zh-CN"/>
        </w:rPr>
        <w:t>4</w:t>
      </w:r>
      <w:r>
        <w:rPr>
          <w:rFonts w:hint="eastAsia" w:ascii="仿宋_GB2312" w:eastAsia="仿宋_GB2312"/>
          <w:spacing w:val="-23"/>
          <w:sz w:val="32"/>
          <w:szCs w:val="32"/>
        </w:rPr>
        <w:t>年</w:t>
      </w:r>
      <w:r>
        <w:rPr>
          <w:rFonts w:hint="eastAsia" w:ascii="仿宋_GB2312" w:eastAsia="仿宋_GB2312"/>
          <w:spacing w:val="-23"/>
          <w:sz w:val="32"/>
          <w:szCs w:val="32"/>
          <w:lang w:val="en-US" w:eastAsia="zh-CN"/>
        </w:rPr>
        <w:t>12</w:t>
      </w:r>
      <w:r>
        <w:rPr>
          <w:rFonts w:hint="eastAsia" w:ascii="仿宋_GB2312" w:eastAsia="仿宋_GB2312"/>
          <w:spacing w:val="-23"/>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日印发</w:t>
      </w:r>
    </w:p>
    <w:sectPr>
      <w:footerReference r:id="rId4" w:type="default"/>
      <w:footerReference r:id="rId5" w:type="even"/>
      <w:pgSz w:w="11906" w:h="16838"/>
      <w:pgMar w:top="2098" w:right="1474" w:bottom="1984" w:left="158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DB6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E45DD">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D7E45DD">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3DBD">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967B7">
                          <w:pPr>
                            <w:pStyle w:val="7"/>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C967B7">
                    <w:pPr>
                      <w:pStyle w:val="7"/>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sdt>
      <w:sdtPr>
        <w:id w:val="10647126"/>
        <w:showingPlcHdr/>
        <w:docPartObj>
          <w:docPartGallery w:val="autotext"/>
        </w:docPartObj>
      </w:sdtPr>
      <w:sdtContent>
        <w:r>
          <w:rPr>
            <w:rFonts w:hint="eastAsia"/>
            <w:lang w:eastAsia="zh-CN"/>
          </w:rPr>
          <w:t xml:space="preserve">     </w:t>
        </w:r>
      </w:sdtContent>
    </w:sdt>
  </w:p>
  <w:p w14:paraId="6190E63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F5CF">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59AFEEE">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OWZmYTJkNzUyYjdhMzI3MGRlN2MzYWUzYjUzODMifQ=="/>
  </w:docVars>
  <w:rsids>
    <w:rsidRoot w:val="00FE0879"/>
    <w:rsid w:val="00016E1B"/>
    <w:rsid w:val="00036BB1"/>
    <w:rsid w:val="0004259C"/>
    <w:rsid w:val="00085768"/>
    <w:rsid w:val="00092A93"/>
    <w:rsid w:val="000A009E"/>
    <w:rsid w:val="000A48A7"/>
    <w:rsid w:val="000C78DA"/>
    <w:rsid w:val="000D49EA"/>
    <w:rsid w:val="000E6640"/>
    <w:rsid w:val="00113C31"/>
    <w:rsid w:val="001532EE"/>
    <w:rsid w:val="00153A6C"/>
    <w:rsid w:val="00157DDB"/>
    <w:rsid w:val="0016324A"/>
    <w:rsid w:val="001961C0"/>
    <w:rsid w:val="001972CB"/>
    <w:rsid w:val="001B299A"/>
    <w:rsid w:val="001C4A95"/>
    <w:rsid w:val="001D320D"/>
    <w:rsid w:val="001F0ED6"/>
    <w:rsid w:val="00226E45"/>
    <w:rsid w:val="002377B2"/>
    <w:rsid w:val="00266F4F"/>
    <w:rsid w:val="00284262"/>
    <w:rsid w:val="002922B4"/>
    <w:rsid w:val="002C0224"/>
    <w:rsid w:val="002C076F"/>
    <w:rsid w:val="002D2E41"/>
    <w:rsid w:val="002F7A56"/>
    <w:rsid w:val="0030097D"/>
    <w:rsid w:val="003260A3"/>
    <w:rsid w:val="00330DAF"/>
    <w:rsid w:val="003433E1"/>
    <w:rsid w:val="00372FE5"/>
    <w:rsid w:val="003874C8"/>
    <w:rsid w:val="003A58A3"/>
    <w:rsid w:val="003A6F72"/>
    <w:rsid w:val="003E635F"/>
    <w:rsid w:val="00414027"/>
    <w:rsid w:val="004603F5"/>
    <w:rsid w:val="00461247"/>
    <w:rsid w:val="004E1C87"/>
    <w:rsid w:val="004E44DD"/>
    <w:rsid w:val="00500092"/>
    <w:rsid w:val="00505EAE"/>
    <w:rsid w:val="00511441"/>
    <w:rsid w:val="005526DF"/>
    <w:rsid w:val="005639B0"/>
    <w:rsid w:val="00575475"/>
    <w:rsid w:val="005909FD"/>
    <w:rsid w:val="005E0144"/>
    <w:rsid w:val="005E1C79"/>
    <w:rsid w:val="005E5F55"/>
    <w:rsid w:val="005F54B4"/>
    <w:rsid w:val="0060571D"/>
    <w:rsid w:val="00633EC6"/>
    <w:rsid w:val="007403E7"/>
    <w:rsid w:val="00746EE8"/>
    <w:rsid w:val="00753850"/>
    <w:rsid w:val="007847AA"/>
    <w:rsid w:val="00786D08"/>
    <w:rsid w:val="00792B68"/>
    <w:rsid w:val="00806AEB"/>
    <w:rsid w:val="00837B02"/>
    <w:rsid w:val="00885D16"/>
    <w:rsid w:val="00886F4B"/>
    <w:rsid w:val="00894AB6"/>
    <w:rsid w:val="008A62FC"/>
    <w:rsid w:val="008C73CE"/>
    <w:rsid w:val="0090635E"/>
    <w:rsid w:val="009137C8"/>
    <w:rsid w:val="0095117E"/>
    <w:rsid w:val="00967311"/>
    <w:rsid w:val="00975549"/>
    <w:rsid w:val="00981326"/>
    <w:rsid w:val="00A01BB6"/>
    <w:rsid w:val="00A12827"/>
    <w:rsid w:val="00A60DF2"/>
    <w:rsid w:val="00A722AB"/>
    <w:rsid w:val="00AB3A63"/>
    <w:rsid w:val="00AD2323"/>
    <w:rsid w:val="00AF2E2D"/>
    <w:rsid w:val="00B036C5"/>
    <w:rsid w:val="00B17317"/>
    <w:rsid w:val="00B5417F"/>
    <w:rsid w:val="00B62056"/>
    <w:rsid w:val="00B6363D"/>
    <w:rsid w:val="00B6559D"/>
    <w:rsid w:val="00B808F8"/>
    <w:rsid w:val="00B90318"/>
    <w:rsid w:val="00BA3C8A"/>
    <w:rsid w:val="00C018EC"/>
    <w:rsid w:val="00C17B8E"/>
    <w:rsid w:val="00CA1F9F"/>
    <w:rsid w:val="00CA6E81"/>
    <w:rsid w:val="00DB1F3A"/>
    <w:rsid w:val="00E35EDE"/>
    <w:rsid w:val="00E93BD7"/>
    <w:rsid w:val="00EE5384"/>
    <w:rsid w:val="00F2033F"/>
    <w:rsid w:val="00F2069C"/>
    <w:rsid w:val="00F46B15"/>
    <w:rsid w:val="00F71924"/>
    <w:rsid w:val="00F81541"/>
    <w:rsid w:val="00FA3BA3"/>
    <w:rsid w:val="00FE0879"/>
    <w:rsid w:val="00FE7DEA"/>
    <w:rsid w:val="034D669A"/>
    <w:rsid w:val="03C81018"/>
    <w:rsid w:val="057506D0"/>
    <w:rsid w:val="0CE2480D"/>
    <w:rsid w:val="100B5E29"/>
    <w:rsid w:val="14400BB3"/>
    <w:rsid w:val="18E86AC5"/>
    <w:rsid w:val="20B46F3A"/>
    <w:rsid w:val="23C71C0F"/>
    <w:rsid w:val="2799241A"/>
    <w:rsid w:val="27C8417C"/>
    <w:rsid w:val="27D47571"/>
    <w:rsid w:val="29FC4F1C"/>
    <w:rsid w:val="2A6055E9"/>
    <w:rsid w:val="2B081EFA"/>
    <w:rsid w:val="2D0068BE"/>
    <w:rsid w:val="30B01E65"/>
    <w:rsid w:val="3B554279"/>
    <w:rsid w:val="3D691CD5"/>
    <w:rsid w:val="3DEB1AF2"/>
    <w:rsid w:val="41DB1475"/>
    <w:rsid w:val="43B701E0"/>
    <w:rsid w:val="48270D4B"/>
    <w:rsid w:val="4D6C5536"/>
    <w:rsid w:val="52B4767F"/>
    <w:rsid w:val="53603FEB"/>
    <w:rsid w:val="58B303D9"/>
    <w:rsid w:val="59FC1E39"/>
    <w:rsid w:val="5C164F06"/>
    <w:rsid w:val="61E84C4F"/>
    <w:rsid w:val="62352720"/>
    <w:rsid w:val="64C574CA"/>
    <w:rsid w:val="722C7C94"/>
    <w:rsid w:val="7266150D"/>
    <w:rsid w:val="74397DAC"/>
    <w:rsid w:val="78C95867"/>
    <w:rsid w:val="7A363361"/>
    <w:rsid w:val="7E33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9"/>
    <w:pPr>
      <w:widowControl w:val="0"/>
      <w:spacing w:before="100" w:beforeLines="100" w:after="100" w:afterLines="100" w:line="240" w:lineRule="auto"/>
      <w:jc w:val="center"/>
      <w:outlineLvl w:val="1"/>
    </w:pPr>
    <w:rPr>
      <w:rFonts w:ascii="Calibri" w:hAnsi="Calibri" w:eastAsia="宋体" w:cs="Times New Roman"/>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w:basedOn w:val="1"/>
    <w:semiHidden/>
    <w:qFormat/>
    <w:uiPriority w:val="0"/>
    <w:rPr>
      <w:rFonts w:ascii="仿宋" w:hAnsi="仿宋" w:eastAsia="仿宋" w:cs="仿宋"/>
      <w:sz w:val="34"/>
      <w:szCs w:val="34"/>
      <w:lang w:val="en-US" w:eastAsia="en-US" w:bidi="ar-SA"/>
    </w:rPr>
  </w:style>
  <w:style w:type="paragraph" w:styleId="6">
    <w:name w:val="Date"/>
    <w:basedOn w:val="1"/>
    <w:next w:val="1"/>
    <w:link w:val="16"/>
    <w:semiHidden/>
    <w:unhideWhenUsed/>
    <w:qFormat/>
    <w:uiPriority w:val="99"/>
    <w:pPr>
      <w:ind w:left="100" w:leftChars="2500"/>
    </w:p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line="240" w:lineRule="auto"/>
    </w:pPr>
    <w:rPr>
      <w:rFonts w:ascii="宋体" w:hAnsi="宋体" w:eastAsia="宋体" w:cs="宋体"/>
      <w:kern w:val="0"/>
      <w:sz w:val="24"/>
      <w:szCs w:val="24"/>
    </w:rPr>
  </w:style>
  <w:style w:type="table" w:styleId="11">
    <w:name w:val="Table Grid"/>
    <w:basedOn w:val="10"/>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日期 Char"/>
    <w:basedOn w:val="12"/>
    <w:link w:val="6"/>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12991</Words>
  <Characters>14024</Characters>
  <Lines>3</Lines>
  <Paragraphs>1</Paragraphs>
  <TotalTime>127</TotalTime>
  <ScaleCrop>false</ScaleCrop>
  <LinksUpToDate>false</LinksUpToDate>
  <CharactersWithSpaces>14230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2020-06-22T03:33:00Z</dcterms:created>
  <dc:creator>DELL</dc:creator>
  <cp:lastModifiedBy>86153</cp:lastModifiedBy>
  <cp:lastPrinted>2024-12-26T08:24:21Z</cp:lastPrinted>
  <dcterms:modified xsi:type="dcterms:W3CDTF">2024-12-26T08:24:27Z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E46A7C00FA544AC4AA1389A8F8CE82D8_13</vt:lpwstr>
  </property>
  <property fmtid="{D5CDD505-2E9C-101B-9397-08002B2CF9AE}" pid="4" name="KSOTemplateDocerSaveRecord">
    <vt:lpwstr>eyJoZGlkIjoiZTI1YzM2Y2E4OWU1ODE0YWUyMDg2OTM4ZGEwYmU0YmMifQ==</vt:lpwstr>
  </property>
</Properties>
</file>