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510C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2109757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3FE032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r>
        <w:rPr>
          <w:rFonts w:hint="eastAsia" w:ascii="Times New Roman" w:hAnsi="Times New Roman" w:eastAsia="方正小标宋简体" w:cs="方正小标宋简体"/>
          <w:sz w:val="40"/>
          <w:szCs w:val="40"/>
        </w:rPr>
        <w:t>甘肃省2026年农业机械报废更新补贴政策解读</w:t>
      </w:r>
    </w:p>
    <w:p w14:paraId="2DC0C77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3F27622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为深入贯彻落实国家关于推动大规模设备更新和消费品以旧换新的决策部署，省农业农村厅</w:t>
      </w:r>
      <w:r>
        <w:rPr>
          <w:rFonts w:hint="eastAsia" w:ascii="Times New Roman" w:hAnsi="Times New Roman" w:eastAsia="仿宋_GB2312" w:cs="仿宋_GB2312"/>
          <w:sz w:val="32"/>
          <w:szCs w:val="32"/>
          <w:lang w:val="en-US" w:eastAsia="zh-CN"/>
        </w:rPr>
        <w:t>6月1日</w:t>
      </w:r>
      <w:r>
        <w:rPr>
          <w:rFonts w:hint="eastAsia" w:ascii="Times New Roman" w:hAnsi="Times New Roman" w:eastAsia="仿宋_GB2312" w:cs="仿宋_GB2312"/>
          <w:sz w:val="32"/>
          <w:szCs w:val="32"/>
        </w:rPr>
        <w:t>印发了《甘肃省2026年农业机械报废更新补贴政策实施方案》。政策在保持</w:t>
      </w:r>
      <w:r>
        <w:rPr>
          <w:rFonts w:hint="eastAsia" w:ascii="Times New Roman" w:hAnsi="Times New Roman" w:eastAsia="仿宋_GB2312" w:cs="仿宋_GB2312"/>
          <w:sz w:val="32"/>
          <w:szCs w:val="32"/>
          <w:lang w:eastAsia="zh-CN"/>
        </w:rPr>
        <w:t>上年</w:t>
      </w:r>
      <w:r>
        <w:rPr>
          <w:rFonts w:hint="eastAsia" w:ascii="Times New Roman" w:hAnsi="Times New Roman" w:eastAsia="仿宋_GB2312" w:cs="仿宋_GB2312"/>
          <w:sz w:val="32"/>
          <w:szCs w:val="32"/>
        </w:rPr>
        <w:t>机具种类和补贴标准总体稳定的基础上，重点强化了资金闭环管理、优化了操作流程、细化了机具核验要求，进一步提升了实施的规范性、便利性和精准性。</w:t>
      </w:r>
    </w:p>
    <w:p w14:paraId="48960F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一、补贴对象</w:t>
      </w:r>
    </w:p>
    <w:p w14:paraId="0A871BE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我省从事农业生产的农民和农业生产经营组织。其中，农业生产经营组织包括农村集体经济组织、农民专业合作经济组织、农业企业和其他从事农业生产经营的组织。</w:t>
      </w:r>
    </w:p>
    <w:p w14:paraId="5B4DCB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二、补贴范围</w:t>
      </w:r>
    </w:p>
    <w:p w14:paraId="211736A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与</w:t>
      </w:r>
      <w:r>
        <w:rPr>
          <w:rFonts w:hint="eastAsia" w:ascii="Times New Roman" w:hAnsi="Times New Roman" w:eastAsia="仿宋_GB2312" w:cs="仿宋_GB2312"/>
          <w:sz w:val="32"/>
          <w:szCs w:val="32"/>
          <w:lang w:eastAsia="zh-CN"/>
        </w:rPr>
        <w:t>上</w:t>
      </w:r>
      <w:r>
        <w:rPr>
          <w:rFonts w:hint="eastAsia" w:ascii="Times New Roman" w:hAnsi="Times New Roman" w:eastAsia="仿宋_GB2312" w:cs="仿宋_GB2312"/>
          <w:sz w:val="32"/>
          <w:szCs w:val="32"/>
        </w:rPr>
        <w:t>年保持一致，共覆盖27个机具种类。</w:t>
      </w:r>
    </w:p>
    <w:p w14:paraId="4DD8B3F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国家确定的15个种类：</w:t>
      </w:r>
      <w:r>
        <w:rPr>
          <w:rFonts w:hint="eastAsia" w:ascii="Times New Roman" w:hAnsi="Times New Roman" w:eastAsia="仿宋_GB2312" w:cs="仿宋_GB2312"/>
          <w:sz w:val="32"/>
          <w:szCs w:val="32"/>
        </w:rPr>
        <w:t>拖拉机、播种机、联合收割机、水稻插秧机、水稻抛秧机、田间作业监测终端、农用北斗辅助驾驶系统、植保无人机、机动喷雾（粉）机、机动脱粒机、饲料（草）粉碎机、铡草机、</w:t>
      </w:r>
      <w:r>
        <w:rPr>
          <w:rFonts w:hint="eastAsia" w:ascii="Times New Roman" w:hAnsi="Times New Roman" w:eastAsia="仿宋_GB2312" w:cs="仿宋_GB2312"/>
          <w:sz w:val="32"/>
          <w:szCs w:val="32"/>
          <w:lang w:eastAsia="zh-CN"/>
        </w:rPr>
        <w:t>粮食干燥机</w:t>
      </w:r>
      <w:r>
        <w:rPr>
          <w:rFonts w:hint="eastAsia" w:ascii="Times New Roman" w:hAnsi="Times New Roman" w:eastAsia="仿宋_GB2312" w:cs="仿宋_GB2312"/>
          <w:sz w:val="32"/>
          <w:szCs w:val="32"/>
        </w:rPr>
        <w:t>、色选机、磨粉机。</w:t>
      </w:r>
    </w:p>
    <w:p w14:paraId="7E174B6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省级确定的12个种类：</w:t>
      </w:r>
      <w:r>
        <w:rPr>
          <w:rFonts w:hint="eastAsia" w:ascii="Times New Roman" w:hAnsi="Times New Roman" w:eastAsia="仿宋_GB2312" w:cs="仿宋_GB2312"/>
          <w:sz w:val="32"/>
          <w:szCs w:val="32"/>
        </w:rPr>
        <w:t>犁、旋耕机、微耕机、青（黄）饲料收获机、打（压）捆机、薯类收获机、根茎类收获机、全膜双垄沟铺膜机、深松机、联合整地机、果蔬烘干机、粮食清选机。</w:t>
      </w:r>
    </w:p>
    <w:p w14:paraId="316806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三、报废条件及要求</w:t>
      </w:r>
    </w:p>
    <w:p w14:paraId="14133A4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申请报废农机应来源清楚合法、主要部件齐全，机主需签署《农业机械来源、归属承诺书》。进一步强化了身份信息关联印证要求</w:t>
      </w:r>
      <w:r>
        <w:rPr>
          <w:rFonts w:hint="eastAsia" w:ascii="Times New Roman" w:hAnsi="Times New Roman" w:eastAsia="仿宋_GB2312" w:cs="仿宋_GB2312"/>
          <w:sz w:val="32"/>
          <w:szCs w:val="32"/>
          <w:lang w:eastAsia="zh-CN"/>
        </w:rPr>
        <w:t>：</w:t>
      </w:r>
    </w:p>
    <w:p w14:paraId="400324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牌证管理的农机</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有牌证的提供牌证号码；无牌证的应有铭牌编号/出厂编号/自编号码、发动机号、底盘（车架）号等两项及以上信息关联印证，信息缺失的应注明原因。</w:t>
      </w:r>
    </w:p>
    <w:p w14:paraId="00DE90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非牌证管理的农机</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应具有铭牌等身份信息；含发动机的整机应有两项及以上信息关联印证。对无铭牌等信息缺失的，应编号确认后报废，并提供喷涂编号的机身图片，确保真实性和唯一性。</w:t>
      </w:r>
    </w:p>
    <w:p w14:paraId="335C6FC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报废条件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达到使用年限的；或虽未达到使用年限但安全隐患大、故障发生率高、损毁严重、维修成本高、无法修复或无配件来源、技术落后的；或国家明令淘汰的。严重残缺、非法拼装改装、来历不明的不予受理。</w:t>
      </w:r>
    </w:p>
    <w:p w14:paraId="28AFED5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rPr>
        <w:t>数量要求</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牌证管理的拖拉机和联合收割机，同一农民家庭年度内不超过3台（套），农业生产经营组织不超过8台（套）。田间作业监测终端、农用北斗辅助驾驶系统、植保无人机数量不受限制。</w:t>
      </w:r>
    </w:p>
    <w:p w14:paraId="1C8D14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四、补贴标准</w:t>
      </w:r>
    </w:p>
    <w:p w14:paraId="7DF684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补贴额与上年保持一致，具体详见《甘肃省2026年农业机械报废更新补贴额一览表》。</w:t>
      </w:r>
    </w:p>
    <w:p w14:paraId="47B4049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更新部分补贴标准按当年农机购置与应用补贴政策执行。田间作业监测终端、农用北斗辅助驾驶系统、植保无人机新购置补贴使用超长期特别国债资金兑付。</w:t>
      </w:r>
    </w:p>
    <w:p w14:paraId="50E2CB1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五、资金使用管理</w:t>
      </w:r>
    </w:p>
    <w:p w14:paraId="70EDB18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超长期特别国债资金由省级发展改革部门下达。2026年政策的刚性约束更强：</w:t>
      </w:r>
    </w:p>
    <w:p w14:paraId="2134C7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年度清零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当年国债资金只能用于当年补贴，年底前需完成录入和兑付。截至12月31日未用完的中央下达资金额度将被收回。</w:t>
      </w:r>
    </w:p>
    <w:p w14:paraId="605D6E8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超支自担</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当年系统录入申请超出国债资金额度的，超出部分由县区财政承担。</w:t>
      </w:r>
    </w:p>
    <w:p w14:paraId="45126E5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严禁补旧</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不得用于填补2025年及以前年度的资金缺口。</w:t>
      </w:r>
    </w:p>
    <w:p w14:paraId="37D3C53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六、回收拆解企业</w:t>
      </w:r>
    </w:p>
    <w:p w14:paraId="5C0BBE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营范围应包含“报废农机回收”。对有发动机部件及含废弃污染物的，以具备资质的报废机动车回收拆解企业为主；对常规且不含废弃污染物的，应为具有相应经营范围的市场主体。企业自愿申请，县级农业农村部门审核公示并签订回收拆解承诺书。因企业未按要求上传信息导致无法核实拆解情况的，相关损失由企业承担。</w:t>
      </w:r>
    </w:p>
    <w:p w14:paraId="583D3D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七、操作流程与主要变化</w:t>
      </w:r>
    </w:p>
    <w:p w14:paraId="05A28F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行“自主交售、定额补贴、先交后补、县级结算、直补到卡（户）”。机主自愿向回收企业交售旧机，县级农业农村部门核验、农机监理机构注销登记后，财政部门兑付补贴。回收企业在6个月内完成拆解并上传影像资料。</w:t>
      </w:r>
    </w:p>
    <w:tbl>
      <w:tblPr>
        <w:tblStyle w:val="4"/>
        <w:tblW w:w="8786"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856"/>
        <w:gridCol w:w="3474"/>
        <w:gridCol w:w="3456"/>
      </w:tblGrid>
      <w:tr w14:paraId="07323FA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tblHeader/>
          <w:jc w:val="center"/>
        </w:trPr>
        <w:tc>
          <w:tcPr>
            <w:tcW w:w="1856" w:type="dxa"/>
            <w:tcBorders>
              <w:top w:val="single" w:color="000000" w:themeColor="dark1" w:sz="12" w:space="0"/>
              <w:left w:val="nil"/>
              <w:bottom w:val="single" w:color="000000" w:themeColor="text1" w:sz="12" w:space="0"/>
              <w:right w:val="single" w:color="000000" w:themeColor="text1" w:sz="12" w:space="0"/>
            </w:tcBorders>
            <w:shd w:val="clear" w:color="auto" w:fill="FFFFFF"/>
            <w:noWrap w:val="0"/>
            <w:tcMar>
              <w:top w:w="-1" w:type="dxa"/>
              <w:left w:w="-1" w:type="dxa"/>
              <w:bottom w:w="-1" w:type="dxa"/>
              <w:right w:w="-1" w:type="dxa"/>
            </w:tcMar>
            <w:vAlign w:val="center"/>
          </w:tcPr>
          <w:p w14:paraId="0A91735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lang w:eastAsia="zh-CN"/>
                <w14:textFill>
                  <w14:solidFill>
                    <w14:schemeClr w14:val="dk1"/>
                  </w14:solidFill>
                </w14:textFill>
              </w:rPr>
              <w:t>主要</w:t>
            </w:r>
            <w:r>
              <w:rPr>
                <w:rFonts w:hint="eastAsia" w:ascii="Times New Roman" w:hAnsi="Times New Roman" w:eastAsia="宋体" w:cs="宋体"/>
                <w:b/>
                <w:i w:val="0"/>
                <w:color w:val="000000" w:themeColor="dark1"/>
                <w:sz w:val="24"/>
                <w:szCs w:val="24"/>
                <w14:textFill>
                  <w14:solidFill>
                    <w14:schemeClr w14:val="dk1"/>
                  </w14:solidFill>
                </w14:textFill>
              </w:rPr>
              <w:t>变化事项</w:t>
            </w:r>
          </w:p>
        </w:tc>
        <w:tc>
          <w:tcPr>
            <w:tcW w:w="3474" w:type="dxa"/>
            <w:tcBorders>
              <w:top w:val="single" w:color="000000" w:themeColor="dark1" w:sz="12" w:space="0"/>
              <w:left w:val="single" w:color="000000" w:themeColor="text1" w:sz="12" w:space="0"/>
              <w:bottom w:val="single" w:color="000000" w:themeColor="text1" w:sz="12" w:space="0"/>
              <w:right w:val="single" w:color="000000" w:themeColor="text1" w:sz="12" w:space="0"/>
            </w:tcBorders>
            <w:shd w:val="clear" w:color="auto" w:fill="FFFFFF"/>
            <w:noWrap w:val="0"/>
            <w:tcMar>
              <w:top w:w="-1" w:type="dxa"/>
              <w:left w:w="-1" w:type="dxa"/>
              <w:bottom w:w="-1" w:type="dxa"/>
              <w:right w:w="-1" w:type="dxa"/>
            </w:tcMar>
            <w:vAlign w:val="center"/>
          </w:tcPr>
          <w:p w14:paraId="23CBA2F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14:textFill>
                  <w14:solidFill>
                    <w14:schemeClr w14:val="dk1"/>
                  </w14:solidFill>
                </w14:textFill>
              </w:rPr>
              <w:t>2025年</w:t>
            </w:r>
          </w:p>
        </w:tc>
        <w:tc>
          <w:tcPr>
            <w:tcW w:w="3456" w:type="dxa"/>
            <w:tcBorders>
              <w:top w:val="single" w:color="000000" w:themeColor="dark1" w:sz="12" w:space="0"/>
              <w:left w:val="single" w:color="000000" w:themeColor="text1" w:sz="12" w:space="0"/>
              <w:bottom w:val="single" w:color="000000" w:themeColor="text1" w:sz="12" w:space="0"/>
              <w:right w:val="nil"/>
            </w:tcBorders>
            <w:shd w:val="clear" w:color="auto" w:fill="FFFFFF"/>
            <w:noWrap w:val="0"/>
            <w:tcMar>
              <w:top w:w="-1" w:type="dxa"/>
              <w:left w:w="-1" w:type="dxa"/>
              <w:bottom w:w="-1" w:type="dxa"/>
              <w:right w:w="-1" w:type="dxa"/>
            </w:tcMar>
            <w:vAlign w:val="center"/>
          </w:tcPr>
          <w:p w14:paraId="46F8A2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14:textFill>
                  <w14:solidFill>
                    <w14:schemeClr w14:val="dk1"/>
                  </w14:solidFill>
                </w14:textFill>
              </w:rPr>
              <w:t>2026年</w:t>
            </w:r>
          </w:p>
        </w:tc>
      </w:tr>
      <w:tr w14:paraId="6E3E1CA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single" w:color="000000" w:themeColor="text1" w:sz="12" w:space="0"/>
              <w:left w:val="nil"/>
              <w:bottom w:val="nil"/>
              <w:right w:val="single" w:color="000000" w:themeColor="text1" w:sz="12" w:space="0"/>
            </w:tcBorders>
            <w:shd w:val="clear" w:color="auto" w:fill="FFFFFF"/>
            <w:noWrap w:val="0"/>
            <w:tcMar>
              <w:top w:w="-1" w:type="dxa"/>
              <w:left w:w="-1" w:type="dxa"/>
              <w:bottom w:w="-1" w:type="dxa"/>
              <w:right w:w="-1" w:type="dxa"/>
            </w:tcMar>
            <w:vAlign w:val="center"/>
          </w:tcPr>
          <w:p w14:paraId="684A1A2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机具核验</w:t>
            </w:r>
          </w:p>
        </w:tc>
        <w:tc>
          <w:tcPr>
            <w:tcW w:w="3474" w:type="dxa"/>
            <w:tcBorders>
              <w:top w:val="single" w:color="000000" w:themeColor="text1" w:sz="12" w:space="0"/>
              <w:left w:val="single" w:color="000000" w:themeColor="text1" w:sz="12" w:space="0"/>
              <w:bottom w:val="nil"/>
              <w:right w:val="single" w:color="000000" w:themeColor="text1" w:sz="12" w:space="0"/>
            </w:tcBorders>
            <w:shd w:val="clear" w:color="auto" w:fill="FFFFFF"/>
            <w:noWrap w:val="0"/>
            <w:tcMar>
              <w:top w:w="-1" w:type="dxa"/>
              <w:left w:w="-1" w:type="dxa"/>
              <w:bottom w:w="-1" w:type="dxa"/>
              <w:right w:w="-1" w:type="dxa"/>
            </w:tcMar>
            <w:vAlign w:val="center"/>
          </w:tcPr>
          <w:p w14:paraId="5CC0018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3个工作日内完成</w:t>
            </w:r>
          </w:p>
        </w:tc>
        <w:tc>
          <w:tcPr>
            <w:tcW w:w="3456" w:type="dxa"/>
            <w:tcBorders>
              <w:top w:val="single" w:color="000000" w:themeColor="text1" w:sz="12" w:space="0"/>
              <w:left w:val="single" w:color="000000" w:themeColor="text1" w:sz="12" w:space="0"/>
              <w:bottom w:val="nil"/>
              <w:right w:val="nil"/>
            </w:tcBorders>
            <w:shd w:val="clear" w:color="auto" w:fill="FFFFFF"/>
            <w:noWrap w:val="0"/>
            <w:tcMar>
              <w:top w:w="-1" w:type="dxa"/>
              <w:left w:w="-1" w:type="dxa"/>
              <w:bottom w:w="-1" w:type="dxa"/>
              <w:right w:w="-1" w:type="dxa"/>
            </w:tcMar>
            <w:vAlign w:val="center"/>
          </w:tcPr>
          <w:p w14:paraId="2A6B1F2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5个工作日内完成</w:t>
            </w:r>
          </w:p>
        </w:tc>
      </w:tr>
      <w:tr w14:paraId="6092AD0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2F2F2"/>
            <w:noWrap w:val="0"/>
            <w:tcMar>
              <w:top w:w="-1" w:type="dxa"/>
              <w:left w:w="-1" w:type="dxa"/>
              <w:bottom w:w="-1" w:type="dxa"/>
              <w:right w:w="-1" w:type="dxa"/>
            </w:tcMar>
            <w:vAlign w:val="center"/>
          </w:tcPr>
          <w:p w14:paraId="62AA54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无牌证机具</w:t>
            </w:r>
          </w:p>
        </w:tc>
        <w:tc>
          <w:tcPr>
            <w:tcW w:w="3474" w:type="dxa"/>
            <w:tcBorders>
              <w:top w:val="nil"/>
              <w:left w:val="single" w:color="000000" w:themeColor="text1" w:sz="12" w:space="0"/>
              <w:bottom w:val="nil"/>
              <w:right w:val="single" w:color="000000" w:themeColor="text1" w:sz="12" w:space="0"/>
            </w:tcBorders>
            <w:shd w:val="clear" w:color="auto" w:fill="F2F2F2"/>
            <w:noWrap w:val="0"/>
            <w:tcMar>
              <w:top w:w="-1" w:type="dxa"/>
              <w:left w:w="-1" w:type="dxa"/>
              <w:bottom w:w="-1" w:type="dxa"/>
              <w:right w:w="-1" w:type="dxa"/>
            </w:tcMar>
            <w:vAlign w:val="center"/>
          </w:tcPr>
          <w:p w14:paraId="5649D89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主要部件齐全、具有身份信息</w:t>
            </w:r>
          </w:p>
        </w:tc>
        <w:tc>
          <w:tcPr>
            <w:tcW w:w="3456" w:type="dxa"/>
            <w:tcBorders>
              <w:top w:val="nil"/>
              <w:left w:val="single" w:color="000000" w:themeColor="text1" w:sz="12" w:space="0"/>
              <w:bottom w:val="nil"/>
              <w:right w:val="nil"/>
            </w:tcBorders>
            <w:shd w:val="clear" w:color="auto" w:fill="F2F2F2"/>
            <w:noWrap w:val="0"/>
            <w:tcMar>
              <w:top w:w="-1" w:type="dxa"/>
              <w:left w:w="-1" w:type="dxa"/>
              <w:bottom w:w="-1" w:type="dxa"/>
              <w:right w:w="-1" w:type="dxa"/>
            </w:tcMar>
            <w:vAlign w:val="center"/>
          </w:tcPr>
          <w:p w14:paraId="7776556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两项及以上信息关联印证</w:t>
            </w:r>
          </w:p>
        </w:tc>
      </w:tr>
      <w:tr w14:paraId="45A795B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FFFFF"/>
            <w:noWrap w:val="0"/>
            <w:tcMar>
              <w:top w:w="-1" w:type="dxa"/>
              <w:left w:w="-1" w:type="dxa"/>
              <w:bottom w:w="-1" w:type="dxa"/>
              <w:right w:w="-1" w:type="dxa"/>
            </w:tcMar>
            <w:vAlign w:val="center"/>
          </w:tcPr>
          <w:p w14:paraId="7077502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拆解与补贴关系</w:t>
            </w:r>
          </w:p>
        </w:tc>
        <w:tc>
          <w:tcPr>
            <w:tcW w:w="3474" w:type="dxa"/>
            <w:tcBorders>
              <w:top w:val="nil"/>
              <w:left w:val="single" w:color="000000" w:themeColor="text1" w:sz="12" w:space="0"/>
              <w:bottom w:val="nil"/>
              <w:right w:val="single" w:color="000000" w:themeColor="text1" w:sz="12" w:space="0"/>
            </w:tcBorders>
            <w:shd w:val="clear" w:color="auto" w:fill="FFFFFF"/>
            <w:noWrap w:val="0"/>
            <w:tcMar>
              <w:top w:w="-1" w:type="dxa"/>
              <w:left w:w="-1" w:type="dxa"/>
              <w:bottom w:w="-1" w:type="dxa"/>
              <w:right w:w="-1" w:type="dxa"/>
            </w:tcMar>
            <w:vAlign w:val="center"/>
          </w:tcPr>
          <w:p w14:paraId="49B7860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可分开办理</w:t>
            </w:r>
          </w:p>
        </w:tc>
        <w:tc>
          <w:tcPr>
            <w:tcW w:w="3456" w:type="dxa"/>
            <w:tcBorders>
              <w:top w:val="nil"/>
              <w:left w:val="single" w:color="000000" w:themeColor="text1" w:sz="12" w:space="0"/>
              <w:bottom w:val="nil"/>
              <w:right w:val="nil"/>
            </w:tcBorders>
            <w:shd w:val="clear" w:color="auto" w:fill="FFFFFF"/>
            <w:noWrap w:val="0"/>
            <w:tcMar>
              <w:top w:w="-1" w:type="dxa"/>
              <w:left w:w="-1" w:type="dxa"/>
              <w:bottom w:w="-1" w:type="dxa"/>
              <w:right w:w="-1" w:type="dxa"/>
            </w:tcMar>
            <w:vAlign w:val="center"/>
          </w:tcPr>
          <w:p w14:paraId="65C4A15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明确先核查后拆解，报废补贴申请不受拆解环节影响</w:t>
            </w:r>
          </w:p>
        </w:tc>
      </w:tr>
      <w:tr w14:paraId="327B81D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2F2F2"/>
            <w:noWrap w:val="0"/>
            <w:tcMar>
              <w:top w:w="-1" w:type="dxa"/>
              <w:left w:w="-1" w:type="dxa"/>
              <w:bottom w:w="-1" w:type="dxa"/>
              <w:right w:w="-1" w:type="dxa"/>
            </w:tcMar>
            <w:vAlign w:val="center"/>
          </w:tcPr>
          <w:p w14:paraId="028E64B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档案保存</w:t>
            </w:r>
          </w:p>
        </w:tc>
        <w:tc>
          <w:tcPr>
            <w:tcW w:w="3474" w:type="dxa"/>
            <w:tcBorders>
              <w:top w:val="nil"/>
              <w:left w:val="single" w:color="000000" w:themeColor="text1" w:sz="12" w:space="0"/>
              <w:bottom w:val="nil"/>
              <w:right w:val="single" w:color="000000" w:themeColor="text1" w:sz="12" w:space="0"/>
            </w:tcBorders>
            <w:shd w:val="clear" w:color="auto" w:fill="F2F2F2"/>
            <w:noWrap w:val="0"/>
            <w:tcMar>
              <w:top w:w="-1" w:type="dxa"/>
              <w:left w:w="-1" w:type="dxa"/>
              <w:bottom w:w="-1" w:type="dxa"/>
              <w:right w:w="-1" w:type="dxa"/>
            </w:tcMar>
            <w:vAlign w:val="center"/>
          </w:tcPr>
          <w:p w14:paraId="7AED7FC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不少于3年</w:t>
            </w:r>
          </w:p>
        </w:tc>
        <w:tc>
          <w:tcPr>
            <w:tcW w:w="3456" w:type="dxa"/>
            <w:tcBorders>
              <w:top w:val="nil"/>
              <w:left w:val="single" w:color="000000" w:themeColor="text1" w:sz="12" w:space="0"/>
              <w:bottom w:val="nil"/>
              <w:right w:val="nil"/>
            </w:tcBorders>
            <w:shd w:val="clear" w:color="auto" w:fill="F2F2F2"/>
            <w:noWrap w:val="0"/>
            <w:tcMar>
              <w:top w:w="-1" w:type="dxa"/>
              <w:left w:w="-1" w:type="dxa"/>
              <w:bottom w:w="-1" w:type="dxa"/>
              <w:right w:w="-1" w:type="dxa"/>
            </w:tcMar>
            <w:vAlign w:val="center"/>
          </w:tcPr>
          <w:p w14:paraId="5192020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不少于5年</w:t>
            </w:r>
          </w:p>
        </w:tc>
      </w:tr>
      <w:tr w14:paraId="5CED933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single" w:color="000000" w:themeColor="dark1" w:sz="12" w:space="0"/>
              <w:right w:val="single" w:color="000000" w:themeColor="text1" w:sz="12" w:space="0"/>
            </w:tcBorders>
            <w:shd w:val="clear" w:color="auto" w:fill="FFFFFF" w:themeFill="background1"/>
            <w:noWrap w:val="0"/>
            <w:tcMar>
              <w:top w:w="-1" w:type="dxa"/>
              <w:left w:w="-1" w:type="dxa"/>
              <w:bottom w:w="-1" w:type="dxa"/>
              <w:right w:w="-1" w:type="dxa"/>
            </w:tcMar>
            <w:vAlign w:val="center"/>
          </w:tcPr>
          <w:p w14:paraId="72A038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宋体"/>
                <w:b w:val="0"/>
                <w:i w:val="0"/>
                <w:color w:val="08090C"/>
                <w:sz w:val="24"/>
                <w:szCs w:val="24"/>
                <w:lang w:val="en-US" w:eastAsia="zh-CN"/>
              </w:rPr>
            </w:pPr>
            <w:r>
              <w:rPr>
                <w:rFonts w:hint="eastAsia" w:ascii="Times New Roman" w:hAnsi="Times New Roman" w:eastAsia="宋体" w:cs="宋体"/>
                <w:b w:val="0"/>
                <w:i w:val="0"/>
                <w:color w:val="FF0000"/>
                <w:sz w:val="24"/>
                <w:szCs w:val="24"/>
                <w:lang w:val="en-US" w:eastAsia="zh-CN"/>
              </w:rPr>
              <w:t>20马力以下拖拉机报废条件</w:t>
            </w:r>
          </w:p>
        </w:tc>
        <w:tc>
          <w:tcPr>
            <w:tcW w:w="3474" w:type="dxa"/>
            <w:tcBorders>
              <w:top w:val="nil"/>
              <w:left w:val="single" w:color="000000" w:themeColor="text1" w:sz="12" w:space="0"/>
              <w:bottom w:val="single" w:color="000000" w:themeColor="dark1" w:sz="12" w:space="0"/>
              <w:right w:val="single" w:color="000000" w:themeColor="text1" w:sz="12" w:space="0"/>
            </w:tcBorders>
            <w:shd w:val="clear" w:color="auto" w:fill="FFFFFF" w:themeFill="background1"/>
            <w:noWrap w:val="0"/>
            <w:tcMar>
              <w:top w:w="-1" w:type="dxa"/>
              <w:left w:w="-1" w:type="dxa"/>
              <w:bottom w:w="-1" w:type="dxa"/>
              <w:right w:w="-1" w:type="dxa"/>
            </w:tcMar>
            <w:vAlign w:val="center"/>
          </w:tcPr>
          <w:p w14:paraId="4ECA19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20马力以下，包含10马力≤发</w:t>
            </w:r>
          </w:p>
          <w:p w14:paraId="2FE6C66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FF0000"/>
                <w:sz w:val="24"/>
                <w:szCs w:val="24"/>
              </w:rPr>
            </w:pPr>
            <w:r>
              <w:rPr>
                <w:rFonts w:hint="eastAsia" w:ascii="Times New Roman" w:hAnsi="Times New Roman" w:eastAsia="宋体" w:cs="宋体"/>
                <w:b w:val="0"/>
                <w:i w:val="0"/>
                <w:color w:val="08090C"/>
                <w:sz w:val="24"/>
                <w:szCs w:val="24"/>
              </w:rPr>
              <w:t>动机功率＜20马力，</w:t>
            </w:r>
            <w:r>
              <w:rPr>
                <w:rFonts w:hint="eastAsia" w:ascii="Times New Roman" w:hAnsi="Times New Roman" w:eastAsia="宋体" w:cs="宋体"/>
                <w:b w:val="0"/>
                <w:i w:val="0"/>
                <w:color w:val="FF0000"/>
                <w:sz w:val="24"/>
                <w:szCs w:val="24"/>
              </w:rPr>
              <w:t>及10马力</w:t>
            </w:r>
          </w:p>
          <w:p w14:paraId="390F6D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FF0000"/>
                <w:sz w:val="24"/>
                <w:szCs w:val="24"/>
              </w:rPr>
              <w:t>以下</w:t>
            </w:r>
            <w:r>
              <w:rPr>
                <w:rFonts w:hint="eastAsia" w:ascii="Times New Roman" w:hAnsi="Times New Roman" w:eastAsia="宋体" w:cs="宋体"/>
                <w:b w:val="0"/>
                <w:i w:val="0"/>
                <w:color w:val="08090C"/>
                <w:sz w:val="24"/>
                <w:szCs w:val="24"/>
              </w:rPr>
              <w:t>且有手扶拖拉机铭牌的</w:t>
            </w:r>
          </w:p>
        </w:tc>
        <w:tc>
          <w:tcPr>
            <w:tcW w:w="3456" w:type="dxa"/>
            <w:tcBorders>
              <w:top w:val="nil"/>
              <w:left w:val="single" w:color="000000" w:themeColor="text1" w:sz="12" w:space="0"/>
              <w:bottom w:val="single" w:color="000000" w:themeColor="dark1" w:sz="12" w:space="0"/>
              <w:right w:val="nil"/>
            </w:tcBorders>
            <w:shd w:val="clear" w:color="auto" w:fill="FFFFFF" w:themeFill="background1"/>
            <w:noWrap w:val="0"/>
            <w:tcMar>
              <w:top w:w="-1" w:type="dxa"/>
              <w:left w:w="-1" w:type="dxa"/>
              <w:bottom w:w="-1" w:type="dxa"/>
              <w:right w:w="-1" w:type="dxa"/>
            </w:tcMar>
            <w:vAlign w:val="center"/>
          </w:tcPr>
          <w:p w14:paraId="0D9FD68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20马力以下，包含10马力≤发动机功率＜20马力，且有拖拉机铭牌的</w:t>
            </w:r>
          </w:p>
        </w:tc>
      </w:tr>
    </w:tbl>
    <w:p w14:paraId="74F2429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bookmarkStart w:id="0" w:name="_GoBack"/>
      <w:bookmarkEnd w:id="0"/>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80107"/>
    <w:rsid w:val="04480107"/>
    <w:rsid w:val="05F9719A"/>
    <w:rsid w:val="3DD269AC"/>
    <w:rsid w:val="42604059"/>
    <w:rsid w:val="441E4BDC"/>
    <w:rsid w:val="48FC32B8"/>
    <w:rsid w:val="531F0A6D"/>
    <w:rsid w:val="76297D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f587a244-e6f6-4945-9144-e9cfa32b41a4</errorID>
      <errorWord>粮食干燥机（烘干机）</errorWord>
      <group>L1_Other</group>
      <groupName>其他问题</groupName>
      <ability>L2_Consistency</ability>
      <abilityName>一致性检查</abilityName>
      <candidateList>
        <item>粮食干燥机</item>
      </candidateList>
      <explain>术语一致性：在列举机具种类时，‘粮食干燥机（烘干机）’表述不统一，应统一为‘粮食干燥机’</explain>
      <paraID>4DD8B3F1</paraID>
      <start>93</start>
      <end>98</end>
      <status>modified</status>
      <modifiedWord>粮食干燥机</modifiedWord>
      <trackRevisions>false</trackRevisions>
    </reviewItem>
  </reviewItems>
  <config/>
</contractReview>
</file>

<file path=customXml/itemProps1.xml><?xml version="1.0" encoding="utf-8"?>
<ds:datastoreItem xmlns:ds="http://schemas.openxmlformats.org/officeDocument/2006/customXml" ds:itemID="{13fa4691-558a-4967-b184-e205055464d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1460</Words>
  <Characters>1495</Characters>
  <Lines>0</Lines>
  <Paragraphs>0</Paragraphs>
  <TotalTime>10</TotalTime>
  <ScaleCrop>false</ScaleCrop>
  <LinksUpToDate>false</LinksUpToDate>
  <CharactersWithSpaces>1495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2026-06-03T07:18:00Z</dcterms:created>
  <dc:creator>Lei</dc:creator>
  <cp:lastModifiedBy>孤帆远影</cp:lastModifiedBy>
  <dcterms:modified xsi:type="dcterms:W3CDTF">2026-06-16T01:27:44Z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0238812F66C3419287B40361E041DA75_13</vt:lpwstr>
  </property>
  <property fmtid="{D5CDD505-2E9C-101B-9397-08002B2CF9AE}" pid="4" name="KSOTemplateDocerSaveRecord">
    <vt:lpwstr>eyJoZGlkIjoiZTY4MDBmZjZmZmU1MmIwZjYwYmY4MTM4ODEwMjJkMzkiLCJ1c2VySWQiOiIyNzY1MTUwOTEifQ==</vt:lpwstr>
  </property>
</Properties>
</file>